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C993F">
      <w:pPr>
        <w:pStyle w:val="2"/>
        <w:keepNext w:val="0"/>
        <w:keepLines w:val="0"/>
        <w:widowControl/>
        <w:suppressLineNumbers w:val="0"/>
        <w:shd w:val="clear" w:fill="FFFFFF"/>
        <w:spacing w:before="0" w:beforeAutospacing="0" w:after="240" w:afterAutospacing="0"/>
        <w:ind w:left="0" w:right="0" w:firstLine="0"/>
        <w:jc w:val="center"/>
        <w:rPr>
          <w:rFonts w:ascii="Segoe UI" w:hAnsi="Segoe UI" w:eastAsia="Segoe UI" w:cs="Segoe UI"/>
          <w:i w:val="0"/>
          <w:iCs w:val="0"/>
          <w:caps w:val="0"/>
          <w:color w:val="0F1115"/>
          <w:spacing w:val="0"/>
          <w:sz w:val="32"/>
          <w:szCs w:val="32"/>
        </w:rPr>
      </w:pPr>
      <w:bookmarkStart w:id="0" w:name="_GoBack"/>
      <w:r>
        <w:rPr>
          <w:rFonts w:hint="default" w:ascii="Segoe UI" w:hAnsi="Segoe UI" w:eastAsia="Segoe UI" w:cs="Segoe UI"/>
          <w:b/>
          <w:bCs/>
          <w:i w:val="0"/>
          <w:iCs w:val="0"/>
          <w:caps w:val="0"/>
          <w:color w:val="0F1115"/>
          <w:spacing w:val="0"/>
          <w:sz w:val="32"/>
          <w:szCs w:val="32"/>
          <w:shd w:val="clear" w:fill="FFFFFF"/>
        </w:rPr>
        <w:t>Service Certification Contract</w:t>
      </w:r>
    </w:p>
    <w:bookmarkEnd w:id="0"/>
    <w:p w14:paraId="1CF0C4B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Contract No.:</w:t>
      </w:r>
      <w:r>
        <w:rPr>
          <w:rFonts w:hint="default" w:ascii="Segoe UI" w:hAnsi="Segoe UI" w:eastAsia="Segoe UI" w:cs="Segoe UI"/>
          <w:i w:val="0"/>
          <w:iCs w:val="0"/>
          <w:caps w:val="0"/>
          <w:color w:val="0F1115"/>
          <w:spacing w:val="0"/>
          <w:sz w:val="24"/>
          <w:szCs w:val="24"/>
          <w:shd w:val="clear" w:fill="FFFFFF"/>
        </w:rPr>
        <w:t> ____</w:t>
      </w:r>
      <w:r>
        <w:rPr>
          <w:rFonts w:hint="default" w:ascii="Segoe UI" w:hAnsi="Segoe UI" w:eastAsia="Segoe UI" w:cs="Segoe UI"/>
          <w:i w:val="0"/>
          <w:iCs w:val="0"/>
          <w:caps w:val="0"/>
          <w:color w:val="0F1115"/>
          <w:spacing w:val="0"/>
          <w:sz w:val="24"/>
          <w:szCs w:val="24"/>
          <w:u w:val="single"/>
          <w:shd w:val="clear" w:fill="FFFFFF"/>
        </w:rPr>
        <w:t>_</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__</w:t>
      </w:r>
      <w:r>
        <w:rPr>
          <w:rFonts w:hint="default" w:ascii="Segoe UI" w:hAnsi="Segoe UI" w:eastAsia="Segoe UI" w:cs="Segoe UI"/>
          <w:i w:val="0"/>
          <w:iCs w:val="0"/>
          <w:caps w:val="0"/>
          <w:color w:val="0F1115"/>
          <w:spacing w:val="0"/>
          <w:sz w:val="24"/>
          <w:szCs w:val="24"/>
          <w:shd w:val="clear" w:fill="FFFFFF"/>
        </w:rPr>
        <w:t>_</w:t>
      </w:r>
    </w:p>
    <w:p w14:paraId="420ADB6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Party A:</w:t>
      </w:r>
      <w:r>
        <w:rPr>
          <w:rFonts w:hint="default" w:ascii="Segoe UI" w:hAnsi="Segoe UI" w:eastAsia="Segoe UI" w:cs="Segoe UI"/>
          <w:i w:val="0"/>
          <w:iCs w:val="0"/>
          <w:caps w:val="0"/>
          <w:color w:val="0F1115"/>
          <w:spacing w:val="0"/>
          <w:sz w:val="24"/>
          <w:szCs w:val="24"/>
          <w:shd w:val="clear" w:fill="FFFFFF"/>
        </w:rPr>
        <w:t> ________</w:t>
      </w:r>
      <w:r>
        <w:rPr>
          <w:rFonts w:hint="default" w:ascii="Segoe UI" w:hAnsi="Segoe UI" w:eastAsia="Segoe UI" w:cs="Segoe UI"/>
          <w:i w:val="0"/>
          <w:iCs w:val="0"/>
          <w:caps w:val="0"/>
          <w:color w:val="0F1115"/>
          <w:spacing w:val="0"/>
          <w:sz w:val="24"/>
          <w:szCs w:val="24"/>
          <w:u w:val="single"/>
          <w:shd w:val="clear" w:fill="FFFFFF"/>
        </w:rPr>
        <w:t>________</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___</w:t>
      </w:r>
      <w:r>
        <w:rPr>
          <w:rFonts w:hint="default" w:ascii="Segoe UI" w:hAnsi="Segoe UI" w:eastAsia="Segoe UI" w:cs="Segoe UI"/>
          <w:i w:val="0"/>
          <w:iCs w:val="0"/>
          <w:caps w:val="0"/>
          <w:color w:val="0F1115"/>
          <w:spacing w:val="0"/>
          <w:sz w:val="24"/>
          <w:szCs w:val="24"/>
          <w:shd w:val="clear" w:fill="FFFFFF"/>
        </w:rPr>
        <w:t>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Party B:</w:t>
      </w:r>
      <w:r>
        <w:rPr>
          <w:rFonts w:hint="default" w:ascii="Segoe UI" w:hAnsi="Segoe UI" w:eastAsia="Segoe UI" w:cs="Segoe UI"/>
          <w:i w:val="0"/>
          <w:iCs w:val="0"/>
          <w:caps w:val="0"/>
          <w:color w:val="0F1115"/>
          <w:spacing w:val="0"/>
          <w:sz w:val="24"/>
          <w:szCs w:val="24"/>
          <w:shd w:val="clear" w:fill="FFFFFF"/>
        </w:rPr>
        <w:t> </w:t>
      </w:r>
      <w:r>
        <w:rPr>
          <w:rFonts w:hint="default" w:ascii="Segoe UI" w:hAnsi="Segoe UI" w:eastAsia="Segoe UI" w:cs="Segoe UI"/>
          <w:i w:val="0"/>
          <w:iCs w:val="0"/>
          <w:caps w:val="0"/>
          <w:color w:val="0F1115"/>
          <w:spacing w:val="0"/>
          <w:sz w:val="24"/>
          <w:szCs w:val="24"/>
          <w:u w:val="single"/>
          <w:shd w:val="clear" w:fill="FFFFFF"/>
        </w:rPr>
        <w:t>Zhongsheng Deshang Inspection &amp; Certification (Chengdu) Co., LTD.</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Address:</w:t>
      </w:r>
      <w:r>
        <w:rPr>
          <w:rFonts w:hint="default" w:ascii="Segoe UI" w:hAnsi="Segoe UI" w:eastAsia="Segoe UI" w:cs="Segoe UI"/>
          <w:i w:val="0"/>
          <w:iCs w:val="0"/>
          <w:caps w:val="0"/>
          <w:color w:val="0F1115"/>
          <w:spacing w:val="0"/>
          <w:sz w:val="24"/>
          <w:szCs w:val="24"/>
          <w:shd w:val="clear" w:fill="FFFFFF"/>
        </w:rPr>
        <w:t> </w:t>
      </w:r>
      <w:r>
        <w:rPr>
          <w:rFonts w:hint="default" w:ascii="Segoe UI" w:hAnsi="Segoe UI" w:eastAsia="Segoe UI" w:cs="Segoe UI"/>
          <w:i w:val="0"/>
          <w:iCs w:val="0"/>
          <w:caps w:val="0"/>
          <w:color w:val="0F1115"/>
          <w:spacing w:val="0"/>
          <w:sz w:val="24"/>
          <w:szCs w:val="24"/>
          <w:u w:val="single"/>
          <w:shd w:val="clear" w:fill="FFFFFF"/>
        </w:rPr>
        <w:t>No. 2, 10th Floor, Building 17, No. 86 Huahan Road, Chenghua District, Chengdu, Sichuan Province, China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b/>
          <w:bCs/>
          <w:i w:val="0"/>
          <w:iCs w:val="0"/>
          <w:caps w:val="0"/>
          <w:color w:val="0F1115"/>
          <w:spacing w:val="0"/>
          <w:sz w:val="24"/>
          <w:szCs w:val="24"/>
          <w:shd w:val="clear" w:fill="FFFFFF"/>
        </w:rPr>
        <w:t>Tel.:</w:t>
      </w:r>
      <w:r>
        <w:rPr>
          <w:rFonts w:hint="default" w:ascii="Segoe UI" w:hAnsi="Segoe UI" w:eastAsia="Segoe UI" w:cs="Segoe UI"/>
          <w:i w:val="0"/>
          <w:iCs w:val="0"/>
          <w:caps w:val="0"/>
          <w:color w:val="0F1115"/>
          <w:spacing w:val="0"/>
          <w:sz w:val="24"/>
          <w:szCs w:val="24"/>
          <w:u w:val="single"/>
          <w:shd w:val="clear" w:fill="FFFFFF"/>
        </w:rPr>
        <w:t> 028-83555628 </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b/>
          <w:bCs/>
          <w:i w:val="0"/>
          <w:iCs w:val="0"/>
          <w:caps w:val="0"/>
          <w:color w:val="0F1115"/>
          <w:spacing w:val="0"/>
          <w:sz w:val="24"/>
          <w:szCs w:val="24"/>
          <w:shd w:val="clear" w:fill="FFFFFF"/>
        </w:rPr>
        <w:t>Postal Code:</w:t>
      </w:r>
      <w:r>
        <w:rPr>
          <w:rFonts w:hint="default" w:ascii="Segoe UI" w:hAnsi="Segoe UI" w:eastAsia="Segoe UI" w:cs="Segoe UI"/>
          <w:i w:val="0"/>
          <w:iCs w:val="0"/>
          <w:caps w:val="0"/>
          <w:color w:val="0F1115"/>
          <w:spacing w:val="0"/>
          <w:sz w:val="24"/>
          <w:szCs w:val="24"/>
          <w:shd w:val="clear" w:fill="FFFFFF"/>
        </w:rPr>
        <w:t> </w:t>
      </w:r>
      <w:r>
        <w:rPr>
          <w:rFonts w:hint="default" w:ascii="Segoe UI" w:hAnsi="Segoe UI" w:eastAsia="Segoe UI" w:cs="Segoe UI"/>
          <w:i w:val="0"/>
          <w:iCs w:val="0"/>
          <w:caps w:val="0"/>
          <w:color w:val="0F1115"/>
          <w:spacing w:val="0"/>
          <w:sz w:val="24"/>
          <w:szCs w:val="24"/>
          <w:u w:val="single"/>
          <w:shd w:val="clear" w:fill="FFFFFF"/>
        </w:rPr>
        <w:t>610051</w:t>
      </w:r>
    </w:p>
    <w:p w14:paraId="6A5DCFC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Service Certification Contract Terms</w:t>
      </w:r>
    </w:p>
    <w:p w14:paraId="36FB754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Upon Party A's entrustment, Party B shall carry out certification for the following service systems established by Party A:</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Commodity after-sales service evaluation certification □ Property service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Construction engineering service certification □ Building decoration and renovation service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Contract energy management service certification □ Elderly care service certification</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 Other: _</w:t>
      </w:r>
      <w:r>
        <w:rPr>
          <w:rFonts w:hint="default" w:ascii="Segoe UI" w:hAnsi="Segoe UI" w:eastAsia="Segoe UI" w:cs="Segoe UI"/>
          <w:i w:val="0"/>
          <w:iCs w:val="0"/>
          <w:caps w:val="0"/>
          <w:color w:val="0F1115"/>
          <w:spacing w:val="0"/>
          <w:sz w:val="24"/>
          <w:szCs w:val="24"/>
          <w:u w:val="single"/>
          <w:shd w:val="clear" w:fill="FFFFFF"/>
        </w:rPr>
        <w:t>___</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___</w:t>
      </w:r>
      <w:r>
        <w:rPr>
          <w:rFonts w:hint="default" w:ascii="Segoe UI" w:hAnsi="Segoe UI" w:eastAsia="Segoe UI" w:cs="Segoe UI"/>
          <w:i w:val="0"/>
          <w:iCs w:val="0"/>
          <w:caps w:val="0"/>
          <w:color w:val="0F1115"/>
          <w:spacing w:val="0"/>
          <w:sz w:val="24"/>
          <w:szCs w:val="24"/>
          <w:shd w:val="clear" w:fill="FFFFFF"/>
        </w:rPr>
        <w:t>_</w:t>
      </w:r>
    </w:p>
    <w:p w14:paraId="60C1877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i w:val="0"/>
          <w:iCs w:val="0"/>
          <w:caps w:val="0"/>
          <w:color w:val="0F1115"/>
          <w:spacing w:val="0"/>
          <w:sz w:val="24"/>
          <w:szCs w:val="24"/>
          <w:shd w:val="clear" w:fill="FFFFFF"/>
        </w:rPr>
        <w:t>Based on the standards (specifications): ________, and in accordance with the relevant provisions of the Civil Code of the People's Republic of China, through equal negotiation between the parties, both parties have reached consensus on the certification review/evaluation and hereby enter into this Contract and agree to jointly comply with it.</w:t>
      </w:r>
    </w:p>
    <w:p w14:paraId="6993F76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2 Content and Scope</w:t>
      </w:r>
    </w:p>
    <w:p w14:paraId="48F5BD9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2.1</w:t>
      </w:r>
      <w:r>
        <w:rPr>
          <w:rFonts w:hint="default" w:ascii="Segoe UI" w:hAnsi="Segoe UI" w:eastAsia="Segoe UI" w:cs="Segoe UI"/>
          <w:i w:val="0"/>
          <w:iCs w:val="0"/>
          <w:caps w:val="0"/>
          <w:color w:val="0F1115"/>
          <w:spacing w:val="0"/>
          <w:sz w:val="24"/>
          <w:szCs w:val="24"/>
          <w:shd w:val="clear" w:fill="FFFFFF"/>
        </w:rPr>
        <w:t> The certification scope covered by this Contract as agreed between the parties:</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Note: The above scope is subject to on-site review/evaluation and confirmation, and the final scope shall be determined by Party B's certification decision.</w:t>
      </w:r>
    </w:p>
    <w:p w14:paraId="38B9B42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2.2</w:t>
      </w:r>
      <w:r>
        <w:rPr>
          <w:rFonts w:hint="default" w:ascii="Segoe UI" w:hAnsi="Segoe UI" w:eastAsia="Segoe UI" w:cs="Segoe UI"/>
          <w:i w:val="0"/>
          <w:iCs w:val="0"/>
          <w:caps w:val="0"/>
          <w:color w:val="0F1115"/>
          <w:spacing w:val="0"/>
          <w:sz w:val="24"/>
          <w:szCs w:val="24"/>
          <w:shd w:val="clear" w:fill="FFFFFF"/>
        </w:rPr>
        <w:t> The review/evaluation basis agreed by the parties: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2.2.1 ___</w:t>
      </w:r>
      <w:r>
        <w:rPr>
          <w:rFonts w:hint="default" w:ascii="Segoe UI" w:hAnsi="Segoe UI" w:eastAsia="Segoe UI" w:cs="Segoe UI"/>
          <w:i w:val="0"/>
          <w:iCs w:val="0"/>
          <w:caps w:val="0"/>
          <w:color w:val="0F1115"/>
          <w:spacing w:val="0"/>
          <w:sz w:val="24"/>
          <w:szCs w:val="24"/>
          <w:u w:val="single"/>
          <w:shd w:val="clear" w:fill="FFFFFF"/>
        </w:rPr>
        <w:t>__</w:t>
      </w:r>
      <w:r>
        <w:rPr>
          <w:rFonts w:hint="eastAsia" w:ascii="Segoe UI" w:hAnsi="Segoe UI" w:eastAsia="宋体" w:cs="Segoe UI"/>
          <w:i w:val="0"/>
          <w:iCs w:val="0"/>
          <w:caps w:val="0"/>
          <w:color w:val="0F1115"/>
          <w:spacing w:val="0"/>
          <w:sz w:val="24"/>
          <w:szCs w:val="24"/>
          <w:u w:val="single"/>
          <w:shd w:val="clear" w:fill="FFFFFF"/>
          <w:lang w:val="en-US" w:eastAsia="zh-CN"/>
        </w:rPr>
        <w:t xml:space="preserve">                                                         </w:t>
      </w:r>
      <w:r>
        <w:rPr>
          <w:rFonts w:hint="default" w:ascii="Segoe UI" w:hAnsi="Segoe UI" w:eastAsia="Segoe UI" w:cs="Segoe UI"/>
          <w:i w:val="0"/>
          <w:iCs w:val="0"/>
          <w:caps w:val="0"/>
          <w:color w:val="0F1115"/>
          <w:spacing w:val="0"/>
          <w:sz w:val="24"/>
          <w:szCs w:val="24"/>
          <w:u w:val="single"/>
          <w:shd w:val="clear" w:fill="FFFFFF"/>
        </w:rPr>
        <w:t>__</w:t>
      </w:r>
      <w:r>
        <w:rPr>
          <w:rFonts w:hint="default" w:ascii="Segoe UI" w:hAnsi="Segoe UI" w:eastAsia="Segoe UI" w:cs="Segoe UI"/>
          <w:i w:val="0"/>
          <w:iCs w:val="0"/>
          <w:caps w:val="0"/>
          <w:color w:val="0F1115"/>
          <w:spacing w:val="0"/>
          <w:sz w:val="24"/>
          <w:szCs w:val="24"/>
          <w:shd w:val="clear" w:fill="FFFFFF"/>
        </w:rPr>
        <w:t>_</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2.2.2 The service manual and related documents established by Party A in accordance with the above standards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2.2.3 Relevant laws, regulations, and regulatory documents</w:t>
      </w:r>
    </w:p>
    <w:p w14:paraId="749FEA1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2.3</w:t>
      </w:r>
      <w:r>
        <w:rPr>
          <w:rFonts w:hint="default" w:ascii="Segoe UI" w:hAnsi="Segoe UI" w:eastAsia="Segoe UI" w:cs="Segoe UI"/>
          <w:i w:val="0"/>
          <w:iCs w:val="0"/>
          <w:caps w:val="0"/>
          <w:color w:val="0F1115"/>
          <w:spacing w:val="0"/>
          <w:sz w:val="24"/>
          <w:szCs w:val="24"/>
          <w:shd w:val="clear" w:fill="FFFFFF"/>
        </w:rPr>
        <w:t> The regional and site scope covered by Party A's services: the scope of office/production or service activities, covering addresses as stated in Party A's "Application for Service Certification".</w:t>
      </w:r>
    </w:p>
    <w:p w14:paraId="0BF4D62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2.4</w:t>
      </w:r>
      <w:r>
        <w:rPr>
          <w:rFonts w:hint="default" w:ascii="Segoe UI" w:hAnsi="Segoe UI" w:eastAsia="Segoe UI" w:cs="Segoe UI"/>
          <w:i w:val="0"/>
          <w:iCs w:val="0"/>
          <w:caps w:val="0"/>
          <w:color w:val="0F1115"/>
          <w:spacing w:val="0"/>
          <w:sz w:val="24"/>
          <w:szCs w:val="24"/>
          <w:shd w:val="clear" w:fill="FFFFFF"/>
        </w:rPr>
        <w:t> Review/evaluation timing: Party B shall determine the review/evaluation duration in accordance with relevant accreditation requirements. The on-site review/evaluation for Party A is tentatively scheduled for ________ (year/month). The specific review/evaluation time shall be subject to the review/evaluation plan issued by Party B. In accordance with certification and accreditation requirements and Party B's relevant provisions, the review/evaluation duration (review/evaluation man-days) shall be determined by Party B during scheme planning and confirmed with Party A in the form of a "Review/Evaluation Notification/Review/Evaluation Plan".</w:t>
      </w:r>
    </w:p>
    <w:p w14:paraId="4F48B67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2.5</w:t>
      </w:r>
      <w:r>
        <w:rPr>
          <w:rFonts w:hint="default" w:ascii="Segoe UI" w:hAnsi="Segoe UI" w:eastAsia="Segoe UI" w:cs="Segoe UI"/>
          <w:i w:val="0"/>
          <w:iCs w:val="0"/>
          <w:caps w:val="0"/>
          <w:color w:val="0F1115"/>
          <w:spacing w:val="0"/>
          <w:sz w:val="24"/>
          <w:szCs w:val="24"/>
          <w:shd w:val="clear" w:fill="FFFFFF"/>
        </w:rPr>
        <w:t> After Party A obtains the certification registration for the applied service certification, during the three-year validity period of the certification certificate, Party A shall accept at least one surveillance review/evaluation conducted by Party B in each calendar year, and the interval between any two reviews/evaluations shall not exceed 12 months. Under special circumstances, Party A may submit a written application for extension, and, upon confirmation by Party B, the deadline may be appropriately extended.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reviews/evaluations shall be applied for and conducted three months prior to the expiry of the certificate. If Party A fails to accept the surveillance review/evaluation conducted by Party B within the prescribed time limit, Party B shall suspend or revoke Party A's certification registration in accordance with relevant industry regulations, and shall report to the relevant accreditation bodies and make public announcements as required. If the certified service system of Party A undergoes significant changes or if a major incident related to this service system occurs, Party A shall accept an unscheduled surveillance review/evaluation from Party B. The certification body shall have the right to increase the frequency of surveillance reviews/evaluations to ensure their effectiveness.</w:t>
      </w:r>
    </w:p>
    <w:p w14:paraId="6BBF31C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Note: For special fields, the relevant certification and accreditation requirements shall apply.</w:t>
      </w:r>
    </w:p>
    <w:p w14:paraId="6529DB1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2.6</w:t>
      </w:r>
      <w:r>
        <w:rPr>
          <w:rFonts w:hint="default" w:ascii="Segoe UI" w:hAnsi="Segoe UI" w:eastAsia="Segoe UI" w:cs="Segoe UI"/>
          <w:i w:val="0"/>
          <w:iCs w:val="0"/>
          <w:caps w:val="0"/>
          <w:color w:val="0F1115"/>
          <w:spacing w:val="0"/>
          <w:sz w:val="24"/>
          <w:szCs w:val="24"/>
          <w:shd w:val="clear" w:fill="FFFFFF"/>
        </w:rPr>
        <w:t> If the products/services covered by Party A's service certification are seasonal in production, Party A shall accept the initial certification review/evaluation,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review/evaluation, and surveillance reviews/evaluations during the production season, and the interval between any two reviews/evaluations shall satisfy the requirements of Clause 2.5.</w:t>
      </w:r>
    </w:p>
    <w:p w14:paraId="17E53BF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2.7</w:t>
      </w:r>
      <w:r>
        <w:rPr>
          <w:rFonts w:hint="default" w:ascii="Segoe UI" w:hAnsi="Segoe UI" w:eastAsia="Segoe UI" w:cs="Segoe UI"/>
          <w:i w:val="0"/>
          <w:iCs w:val="0"/>
          <w:caps w:val="0"/>
          <w:color w:val="0F1115"/>
          <w:spacing w:val="0"/>
          <w:sz w:val="24"/>
          <w:szCs w:val="24"/>
          <w:shd w:val="clear" w:fill="FFFFFF"/>
        </w:rPr>
        <w:t> During surveillance, both parties may confirm surveillance review/evaluation matters through a Surveillance Review/Evaluation Communication Confirmation Letter. During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both parties may confirm the continued validity of this Contract through a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Communication Confirmation Letter. The purpose of the Surveillance/Re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Communication Confirmation Letter is to confirm various information related to the respective review/evaluation, and it shall be deemed a supplementary part of this Contract. In the event of any inconsistency between the supplementary content and this Contract, the supplementary contract shall prevail.</w:t>
      </w:r>
    </w:p>
    <w:p w14:paraId="34031E18">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3 Fees and Payment Methods</w:t>
      </w:r>
    </w:p>
    <w:p w14:paraId="66010D4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3.1</w:t>
      </w:r>
      <w:r>
        <w:rPr>
          <w:rFonts w:hint="default" w:ascii="Segoe UI" w:hAnsi="Segoe UI" w:eastAsia="Segoe UI" w:cs="Segoe UI"/>
          <w:i w:val="0"/>
          <w:iCs w:val="0"/>
          <w:caps w:val="0"/>
          <w:color w:val="0F1115"/>
          <w:spacing w:val="0"/>
          <w:sz w:val="24"/>
          <w:szCs w:val="24"/>
          <w:shd w:val="clear" w:fill="FFFFFF"/>
        </w:rPr>
        <w:t> Party A shall pay the following fees to Party B:</w:t>
      </w:r>
    </w:p>
    <w:tbl>
      <w:tblPr>
        <w:tblW w:w="5104"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15" w:type="dxa"/>
          <w:left w:w="15" w:type="dxa"/>
          <w:bottom w:w="15" w:type="dxa"/>
          <w:right w:w="15" w:type="dxa"/>
        </w:tblCellMar>
      </w:tblPr>
      <w:tblGrid>
        <w:gridCol w:w="1552"/>
        <w:gridCol w:w="3494"/>
        <w:gridCol w:w="1640"/>
        <w:gridCol w:w="2053"/>
      </w:tblGrid>
      <w:tr w14:paraId="37479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887" w:type="pct"/>
            <w:tcBorders>
              <w:top w:val="single" w:color="auto" w:sz="12" w:space="0"/>
              <w:left w:val="single" w:color="auto" w:sz="12" w:space="0"/>
              <w:bottom w:val="nil"/>
              <w:right w:val="nil"/>
            </w:tcBorders>
            <w:shd w:val="clear"/>
            <w:noWrap w:val="0"/>
            <w:tcMar>
              <w:top w:w="150" w:type="dxa"/>
              <w:left w:w="-1" w:type="dxa"/>
              <w:bottom w:w="150" w:type="dxa"/>
              <w:right w:w="240" w:type="dxa"/>
            </w:tcMar>
            <w:vAlign w:val="center"/>
          </w:tcPr>
          <w:p w14:paraId="2BA831F8">
            <w:pPr>
              <w:keepNext w:val="0"/>
              <w:keepLines w:val="0"/>
              <w:widowControl/>
              <w:suppressLineNumbers w:val="0"/>
              <w:snapToGrid w:val="0"/>
              <w:spacing w:line="240" w:lineRule="auto"/>
              <w:ind w:left="0" w:leftChars="0" w:right="0" w:rightChars="0" w:firstLine="0" w:firstLineChars="0"/>
              <w:jc w:val="center"/>
              <w:rPr>
                <w:rFonts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Item</w:t>
            </w:r>
          </w:p>
        </w:tc>
        <w:tc>
          <w:tcPr>
            <w:tcW w:w="1999"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7538270C">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Project</w:t>
            </w:r>
          </w:p>
        </w:tc>
        <w:tc>
          <w:tcPr>
            <w:tcW w:w="938"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3798FE10">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Fee (RMB Yuan)</w:t>
            </w:r>
          </w:p>
        </w:tc>
        <w:tc>
          <w:tcPr>
            <w:tcW w:w="1174" w:type="pct"/>
            <w:tcBorders>
              <w:top w:val="single" w:color="auto" w:sz="12"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7998746D">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Payment Method</w:t>
            </w:r>
          </w:p>
        </w:tc>
      </w:tr>
      <w:tr w14:paraId="7E975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87" w:type="pct"/>
            <w:vMerge w:val="restart"/>
            <w:tcBorders>
              <w:top w:val="single" w:color="auto" w:sz="4" w:space="0"/>
              <w:left w:val="single" w:color="auto" w:sz="12" w:space="0"/>
              <w:right w:val="nil"/>
            </w:tcBorders>
            <w:shd w:val="clear"/>
            <w:noWrap w:val="0"/>
            <w:tcMar>
              <w:top w:w="150" w:type="dxa"/>
              <w:left w:w="-1" w:type="dxa"/>
              <w:bottom w:w="150" w:type="dxa"/>
              <w:right w:w="240" w:type="dxa"/>
            </w:tcMar>
            <w:vAlign w:val="center"/>
          </w:tcPr>
          <w:p w14:paraId="65902D42">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Registration/Review/Evaluation Fee</w:t>
            </w:r>
          </w:p>
        </w:tc>
        <w:tc>
          <w:tcPr>
            <w:tcW w:w="199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375DF7F">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Certification Application Fee</w:t>
            </w:r>
          </w:p>
        </w:tc>
        <w:tc>
          <w:tcPr>
            <w:tcW w:w="93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A82703A">
            <w:pPr>
              <w:snapToGrid w:val="0"/>
              <w:ind w:left="0" w:leftChars="0" w:right="0" w:rightChars="0" w:firstLine="0" w:firstLineChars="0"/>
              <w:jc w:val="right"/>
              <w:rPr>
                <w:rFonts w:hint="default" w:ascii="Segoe UI" w:hAnsi="Segoe UI" w:eastAsia="Segoe UI" w:cs="Segoe UI"/>
                <w:sz w:val="22"/>
                <w:szCs w:val="22"/>
              </w:rPr>
            </w:pPr>
          </w:p>
        </w:tc>
        <w:tc>
          <w:tcPr>
            <w:tcW w:w="1174" w:type="pct"/>
            <w:vMerge w:val="restart"/>
            <w:tcBorders>
              <w:top w:val="single" w:color="auto" w:sz="4" w:space="0"/>
              <w:left w:val="single" w:color="auto" w:sz="4" w:space="0"/>
              <w:right w:val="single" w:color="auto" w:sz="12" w:space="0"/>
            </w:tcBorders>
            <w:shd w:val="clear"/>
            <w:noWrap w:val="0"/>
            <w:tcMar>
              <w:top w:w="150" w:type="dxa"/>
              <w:left w:w="240" w:type="dxa"/>
              <w:bottom w:w="150" w:type="dxa"/>
              <w:right w:w="-1" w:type="dxa"/>
            </w:tcMar>
            <w:vAlign w:val="center"/>
          </w:tcPr>
          <w:p w14:paraId="361C2576">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A shall pay to Party B in a lump sum before the review/evaluation.</w:t>
            </w:r>
          </w:p>
        </w:tc>
      </w:tr>
      <w:tr w14:paraId="6C5CF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87" w:type="pct"/>
            <w:vMerge w:val="continue"/>
            <w:tcBorders>
              <w:left w:val="single" w:color="auto" w:sz="12" w:space="0"/>
              <w:right w:val="nil"/>
            </w:tcBorders>
            <w:shd w:val="clear"/>
            <w:noWrap w:val="0"/>
            <w:tcMar>
              <w:top w:w="150" w:type="dxa"/>
              <w:left w:w="-1" w:type="dxa"/>
              <w:bottom w:w="150" w:type="dxa"/>
              <w:right w:w="240" w:type="dxa"/>
            </w:tcMar>
            <w:vAlign w:val="center"/>
          </w:tcPr>
          <w:p w14:paraId="1C14B16A">
            <w:pPr>
              <w:snapToGrid w:val="0"/>
              <w:ind w:left="0" w:leftChars="0" w:right="0" w:rightChars="0" w:firstLine="0" w:firstLineChars="0"/>
              <w:jc w:val="center"/>
              <w:rPr>
                <w:rFonts w:hint="default" w:ascii="Segoe UI" w:hAnsi="Segoe UI" w:eastAsia="Segoe UI" w:cs="Segoe UI"/>
                <w:sz w:val="22"/>
                <w:szCs w:val="22"/>
              </w:rPr>
            </w:pPr>
          </w:p>
        </w:tc>
        <w:tc>
          <w:tcPr>
            <w:tcW w:w="199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C86AFD1">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Review/Evaluation Fee</w:t>
            </w:r>
          </w:p>
        </w:tc>
        <w:tc>
          <w:tcPr>
            <w:tcW w:w="93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A4ECA9C">
            <w:pPr>
              <w:snapToGrid w:val="0"/>
              <w:ind w:left="0" w:leftChars="0" w:right="0" w:rightChars="0" w:firstLine="0" w:firstLineChars="0"/>
              <w:jc w:val="right"/>
              <w:rPr>
                <w:rFonts w:hint="default" w:ascii="Segoe UI" w:hAnsi="Segoe UI" w:eastAsia="Segoe UI" w:cs="Segoe UI"/>
                <w:sz w:val="22"/>
                <w:szCs w:val="22"/>
              </w:rPr>
            </w:pPr>
          </w:p>
        </w:tc>
        <w:tc>
          <w:tcPr>
            <w:tcW w:w="1174" w:type="pct"/>
            <w:vMerge w:val="continue"/>
            <w:tcBorders>
              <w:left w:val="single" w:color="auto" w:sz="4" w:space="0"/>
              <w:right w:val="single" w:color="auto" w:sz="12" w:space="0"/>
            </w:tcBorders>
            <w:shd w:val="clear"/>
            <w:noWrap w:val="0"/>
            <w:tcMar>
              <w:top w:w="150" w:type="dxa"/>
              <w:left w:w="240" w:type="dxa"/>
              <w:bottom w:w="150" w:type="dxa"/>
              <w:right w:w="-1" w:type="dxa"/>
            </w:tcMar>
            <w:vAlign w:val="center"/>
          </w:tcPr>
          <w:p w14:paraId="7768C993">
            <w:pPr>
              <w:snapToGrid w:val="0"/>
              <w:ind w:left="0" w:leftChars="0" w:right="0" w:rightChars="0" w:firstLine="0" w:firstLineChars="0"/>
              <w:jc w:val="center"/>
              <w:rPr>
                <w:rFonts w:hint="default" w:ascii="Segoe UI" w:hAnsi="Segoe UI" w:eastAsia="Segoe UI" w:cs="Segoe UI"/>
                <w:sz w:val="22"/>
                <w:szCs w:val="22"/>
              </w:rPr>
            </w:pPr>
          </w:p>
        </w:tc>
      </w:tr>
      <w:tr w14:paraId="5A20D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87" w:type="pct"/>
            <w:vMerge w:val="continue"/>
            <w:tcBorders>
              <w:left w:val="single" w:color="auto" w:sz="12" w:space="0"/>
              <w:right w:val="nil"/>
            </w:tcBorders>
            <w:shd w:val="clear"/>
            <w:noWrap w:val="0"/>
            <w:tcMar>
              <w:top w:w="150" w:type="dxa"/>
              <w:left w:w="-1" w:type="dxa"/>
              <w:bottom w:w="150" w:type="dxa"/>
              <w:right w:w="240" w:type="dxa"/>
            </w:tcMar>
            <w:vAlign w:val="center"/>
          </w:tcPr>
          <w:p w14:paraId="0FD88E30">
            <w:pPr>
              <w:snapToGrid w:val="0"/>
              <w:ind w:left="0" w:leftChars="0" w:right="0" w:rightChars="0" w:firstLine="0" w:firstLineChars="0"/>
              <w:jc w:val="center"/>
              <w:rPr>
                <w:rFonts w:hint="default" w:ascii="Segoe UI" w:hAnsi="Segoe UI" w:eastAsia="Segoe UI" w:cs="Segoe UI"/>
                <w:sz w:val="22"/>
                <w:szCs w:val="22"/>
              </w:rPr>
            </w:pPr>
          </w:p>
        </w:tc>
        <w:tc>
          <w:tcPr>
            <w:tcW w:w="199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8FCF321">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Review and Registration Fee</w:t>
            </w:r>
          </w:p>
        </w:tc>
        <w:tc>
          <w:tcPr>
            <w:tcW w:w="93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873641E">
            <w:pPr>
              <w:snapToGrid w:val="0"/>
              <w:ind w:left="0" w:leftChars="0" w:right="0" w:rightChars="0" w:firstLine="0" w:firstLineChars="0"/>
              <w:jc w:val="right"/>
              <w:rPr>
                <w:rFonts w:hint="default" w:ascii="Segoe UI" w:hAnsi="Segoe UI" w:eastAsia="Segoe UI" w:cs="Segoe UI"/>
                <w:sz w:val="22"/>
                <w:szCs w:val="22"/>
              </w:rPr>
            </w:pPr>
          </w:p>
        </w:tc>
        <w:tc>
          <w:tcPr>
            <w:tcW w:w="1174" w:type="pct"/>
            <w:vMerge w:val="continue"/>
            <w:tcBorders>
              <w:left w:val="single" w:color="auto" w:sz="4" w:space="0"/>
              <w:right w:val="single" w:color="auto" w:sz="12" w:space="0"/>
            </w:tcBorders>
            <w:shd w:val="clear"/>
            <w:noWrap w:val="0"/>
            <w:tcMar>
              <w:top w:w="150" w:type="dxa"/>
              <w:left w:w="240" w:type="dxa"/>
              <w:bottom w:w="150" w:type="dxa"/>
              <w:right w:w="-1" w:type="dxa"/>
            </w:tcMar>
            <w:vAlign w:val="center"/>
          </w:tcPr>
          <w:p w14:paraId="428214C7">
            <w:pPr>
              <w:snapToGrid w:val="0"/>
              <w:ind w:left="0" w:leftChars="0" w:right="0" w:rightChars="0" w:firstLine="0" w:firstLineChars="0"/>
              <w:jc w:val="center"/>
              <w:rPr>
                <w:rFonts w:hint="default" w:ascii="Segoe UI" w:hAnsi="Segoe UI" w:eastAsia="Segoe UI" w:cs="Segoe UI"/>
                <w:sz w:val="22"/>
                <w:szCs w:val="22"/>
              </w:rPr>
            </w:pPr>
          </w:p>
        </w:tc>
      </w:tr>
      <w:tr w14:paraId="4AF67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87" w:type="pct"/>
            <w:vMerge w:val="continue"/>
            <w:tcBorders>
              <w:left w:val="single" w:color="auto" w:sz="12" w:space="0"/>
              <w:bottom w:val="nil"/>
              <w:right w:val="nil"/>
            </w:tcBorders>
            <w:shd w:val="clear"/>
            <w:noWrap w:val="0"/>
            <w:tcMar>
              <w:top w:w="150" w:type="dxa"/>
              <w:left w:w="-1" w:type="dxa"/>
              <w:bottom w:w="150" w:type="dxa"/>
              <w:right w:w="240" w:type="dxa"/>
            </w:tcMar>
            <w:vAlign w:val="center"/>
          </w:tcPr>
          <w:p w14:paraId="128716A8">
            <w:pPr>
              <w:snapToGrid w:val="0"/>
              <w:ind w:left="0" w:leftChars="0" w:right="0" w:rightChars="0" w:firstLine="0" w:firstLineChars="0"/>
              <w:jc w:val="center"/>
              <w:rPr>
                <w:rFonts w:hint="default" w:ascii="Segoe UI" w:hAnsi="Segoe UI" w:eastAsia="Segoe UI" w:cs="Segoe UI"/>
                <w:b/>
                <w:sz w:val="22"/>
                <w:szCs w:val="22"/>
              </w:rPr>
            </w:pPr>
          </w:p>
        </w:tc>
        <w:tc>
          <w:tcPr>
            <w:tcW w:w="199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441AF6F">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Total of the Above Fees</w:t>
            </w:r>
          </w:p>
        </w:tc>
        <w:tc>
          <w:tcPr>
            <w:tcW w:w="93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8641445">
            <w:pPr>
              <w:snapToGrid w:val="0"/>
              <w:ind w:left="0" w:leftChars="0" w:right="0" w:rightChars="0" w:firstLine="0" w:firstLineChars="0"/>
              <w:jc w:val="right"/>
              <w:rPr>
                <w:rFonts w:hint="default" w:ascii="Segoe UI" w:hAnsi="Segoe UI" w:eastAsia="Segoe UI" w:cs="Segoe UI"/>
                <w:b/>
                <w:sz w:val="22"/>
                <w:szCs w:val="22"/>
              </w:rPr>
            </w:pPr>
          </w:p>
        </w:tc>
        <w:tc>
          <w:tcPr>
            <w:tcW w:w="1174" w:type="pct"/>
            <w:vMerge w:val="continue"/>
            <w:tcBorders>
              <w:left w:val="single" w:color="auto" w:sz="4" w:space="0"/>
              <w:bottom w:val="nil"/>
              <w:right w:val="single" w:color="auto" w:sz="12" w:space="0"/>
            </w:tcBorders>
            <w:shd w:val="clear"/>
            <w:noWrap w:val="0"/>
            <w:tcMar>
              <w:top w:w="150" w:type="dxa"/>
              <w:left w:w="240" w:type="dxa"/>
              <w:bottom w:w="150" w:type="dxa"/>
              <w:right w:w="-1" w:type="dxa"/>
            </w:tcMar>
            <w:vAlign w:val="center"/>
          </w:tcPr>
          <w:p w14:paraId="17C332B2">
            <w:pPr>
              <w:snapToGrid w:val="0"/>
              <w:ind w:left="0" w:leftChars="0" w:right="0" w:rightChars="0" w:firstLine="0" w:firstLineChars="0"/>
              <w:jc w:val="center"/>
              <w:rPr>
                <w:rFonts w:hint="default" w:ascii="Segoe UI" w:hAnsi="Segoe UI" w:eastAsia="Segoe UI" w:cs="Segoe UI"/>
                <w:b/>
                <w:sz w:val="22"/>
                <w:szCs w:val="22"/>
              </w:rPr>
            </w:pPr>
          </w:p>
        </w:tc>
      </w:tr>
      <w:tr w14:paraId="6A3F8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87" w:type="pct"/>
            <w:vMerge w:val="restart"/>
            <w:tcBorders>
              <w:top w:val="single" w:color="auto" w:sz="4" w:space="0"/>
              <w:left w:val="single" w:color="auto" w:sz="12" w:space="0"/>
              <w:right w:val="nil"/>
            </w:tcBorders>
            <w:shd w:val="clear"/>
            <w:noWrap w:val="0"/>
            <w:tcMar>
              <w:top w:w="150" w:type="dxa"/>
              <w:left w:w="-1" w:type="dxa"/>
              <w:bottom w:w="150" w:type="dxa"/>
              <w:right w:w="240" w:type="dxa"/>
            </w:tcMar>
            <w:vAlign w:val="center"/>
          </w:tcPr>
          <w:p w14:paraId="54804AD6">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Surveillance Review/Evaluation Fee</w:t>
            </w:r>
          </w:p>
        </w:tc>
        <w:tc>
          <w:tcPr>
            <w:tcW w:w="199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5678B97A">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Review/Evaluation Fee</w:t>
            </w:r>
          </w:p>
        </w:tc>
        <w:tc>
          <w:tcPr>
            <w:tcW w:w="93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9372DC6">
            <w:pPr>
              <w:snapToGrid w:val="0"/>
              <w:ind w:left="0" w:leftChars="0" w:right="0" w:rightChars="0" w:firstLine="0" w:firstLineChars="0"/>
              <w:jc w:val="right"/>
              <w:rPr>
                <w:rFonts w:hint="default" w:ascii="Segoe UI" w:hAnsi="Segoe UI" w:eastAsia="Segoe UI" w:cs="Segoe UI"/>
                <w:sz w:val="22"/>
                <w:szCs w:val="22"/>
              </w:rPr>
            </w:pPr>
          </w:p>
        </w:tc>
        <w:tc>
          <w:tcPr>
            <w:tcW w:w="1174" w:type="pct"/>
            <w:vMerge w:val="restart"/>
            <w:tcBorders>
              <w:top w:val="single" w:color="auto" w:sz="4" w:space="0"/>
              <w:left w:val="single" w:color="auto" w:sz="4" w:space="0"/>
              <w:right w:val="single" w:color="auto" w:sz="12" w:space="0"/>
            </w:tcBorders>
            <w:shd w:val="clear"/>
            <w:noWrap w:val="0"/>
            <w:tcMar>
              <w:top w:w="150" w:type="dxa"/>
              <w:left w:w="240" w:type="dxa"/>
              <w:bottom w:w="150" w:type="dxa"/>
              <w:right w:w="-1" w:type="dxa"/>
            </w:tcMar>
            <w:vAlign w:val="center"/>
          </w:tcPr>
          <w:p w14:paraId="20E3C06F">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The surveillance review/evaluation fee shall be paid in a lump sum before the commencement of each surveillance review/evaluation.</w:t>
            </w:r>
          </w:p>
        </w:tc>
      </w:tr>
      <w:tr w14:paraId="43DF2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87" w:type="pct"/>
            <w:vMerge w:val="continue"/>
            <w:tcBorders>
              <w:left w:val="single" w:color="auto" w:sz="12" w:space="0"/>
              <w:right w:val="nil"/>
            </w:tcBorders>
            <w:shd w:val="clear"/>
            <w:noWrap w:val="0"/>
            <w:tcMar>
              <w:top w:w="150" w:type="dxa"/>
              <w:left w:w="-1" w:type="dxa"/>
              <w:bottom w:w="150" w:type="dxa"/>
              <w:right w:w="240" w:type="dxa"/>
            </w:tcMar>
            <w:vAlign w:val="center"/>
          </w:tcPr>
          <w:p w14:paraId="70F4A2D7">
            <w:pPr>
              <w:snapToGrid w:val="0"/>
              <w:ind w:left="0" w:leftChars="0" w:right="0" w:rightChars="0" w:firstLine="0" w:firstLineChars="0"/>
              <w:jc w:val="center"/>
              <w:rPr>
                <w:rFonts w:hint="default" w:ascii="Segoe UI" w:hAnsi="Segoe UI" w:eastAsia="Segoe UI" w:cs="Segoe UI"/>
                <w:sz w:val="22"/>
                <w:szCs w:val="22"/>
              </w:rPr>
            </w:pPr>
          </w:p>
        </w:tc>
        <w:tc>
          <w:tcPr>
            <w:tcW w:w="1999"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7468114">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Annual Review Fee</w:t>
            </w:r>
          </w:p>
        </w:tc>
        <w:tc>
          <w:tcPr>
            <w:tcW w:w="938"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7AC39DC3">
            <w:pPr>
              <w:snapToGrid w:val="0"/>
              <w:ind w:left="0" w:leftChars="0" w:right="0" w:rightChars="0" w:firstLine="0" w:firstLineChars="0"/>
              <w:jc w:val="right"/>
              <w:rPr>
                <w:rFonts w:hint="default" w:ascii="Segoe UI" w:hAnsi="Segoe UI" w:eastAsia="Segoe UI" w:cs="Segoe UI"/>
                <w:sz w:val="22"/>
                <w:szCs w:val="22"/>
              </w:rPr>
            </w:pPr>
          </w:p>
        </w:tc>
        <w:tc>
          <w:tcPr>
            <w:tcW w:w="1174" w:type="pct"/>
            <w:vMerge w:val="continue"/>
            <w:tcBorders>
              <w:left w:val="single" w:color="auto" w:sz="4" w:space="0"/>
              <w:right w:val="single" w:color="auto" w:sz="12" w:space="0"/>
            </w:tcBorders>
            <w:shd w:val="clear"/>
            <w:noWrap w:val="0"/>
            <w:tcMar>
              <w:top w:w="150" w:type="dxa"/>
              <w:left w:w="240" w:type="dxa"/>
              <w:bottom w:w="150" w:type="dxa"/>
              <w:right w:w="-1" w:type="dxa"/>
            </w:tcMar>
            <w:vAlign w:val="center"/>
          </w:tcPr>
          <w:p w14:paraId="56E9336A">
            <w:pPr>
              <w:snapToGrid w:val="0"/>
              <w:ind w:left="0" w:leftChars="0" w:right="0" w:rightChars="0" w:firstLine="0" w:firstLineChars="0"/>
              <w:jc w:val="center"/>
              <w:rPr>
                <w:rFonts w:hint="default" w:ascii="Segoe UI" w:hAnsi="Segoe UI" w:eastAsia="Segoe UI" w:cs="Segoe UI"/>
                <w:sz w:val="22"/>
                <w:szCs w:val="22"/>
              </w:rPr>
            </w:pPr>
          </w:p>
        </w:tc>
      </w:tr>
      <w:tr w14:paraId="11035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887" w:type="pct"/>
            <w:vMerge w:val="continue"/>
            <w:tcBorders>
              <w:left w:val="single" w:color="auto" w:sz="12" w:space="0"/>
              <w:bottom w:val="single" w:color="auto" w:sz="4" w:space="0"/>
              <w:right w:val="nil"/>
            </w:tcBorders>
            <w:shd w:val="clear"/>
            <w:noWrap w:val="0"/>
            <w:tcMar>
              <w:top w:w="150" w:type="dxa"/>
              <w:left w:w="-1" w:type="dxa"/>
              <w:bottom w:w="150" w:type="dxa"/>
              <w:right w:w="240" w:type="dxa"/>
            </w:tcMar>
            <w:vAlign w:val="center"/>
          </w:tcPr>
          <w:p w14:paraId="6ED01F6F">
            <w:pPr>
              <w:snapToGrid w:val="0"/>
              <w:ind w:left="0" w:leftChars="0" w:right="0" w:rightChars="0" w:firstLine="0" w:firstLineChars="0"/>
              <w:jc w:val="center"/>
              <w:rPr>
                <w:rFonts w:hint="default" w:ascii="Segoe UI" w:hAnsi="Segoe UI" w:eastAsia="Segoe UI" w:cs="Segoe UI"/>
                <w:b/>
                <w:sz w:val="22"/>
                <w:szCs w:val="22"/>
              </w:rPr>
            </w:pPr>
          </w:p>
        </w:tc>
        <w:tc>
          <w:tcPr>
            <w:tcW w:w="1999" w:type="pct"/>
            <w:tcBorders>
              <w:top w:val="single" w:color="auto" w:sz="4" w:space="0"/>
              <w:left w:val="single" w:color="auto" w:sz="4" w:space="0"/>
              <w:bottom w:val="single" w:color="auto" w:sz="4" w:space="0"/>
              <w:right w:val="nil"/>
            </w:tcBorders>
            <w:shd w:val="clear"/>
            <w:noWrap w:val="0"/>
            <w:tcMar>
              <w:top w:w="150" w:type="dxa"/>
              <w:left w:w="240" w:type="dxa"/>
              <w:bottom w:w="150" w:type="dxa"/>
              <w:right w:w="240" w:type="dxa"/>
            </w:tcMar>
            <w:vAlign w:val="center"/>
          </w:tcPr>
          <w:p w14:paraId="63D4B851">
            <w:pPr>
              <w:keepNext w:val="0"/>
              <w:keepLines w:val="0"/>
              <w:widowControl/>
              <w:suppressLineNumbers w:val="0"/>
              <w:snapToGrid w:val="0"/>
              <w:spacing w:line="240" w:lineRule="auto"/>
              <w:ind w:left="0" w:leftChars="0" w:right="0" w:rightChars="0" w:firstLine="0" w:firstLineChars="0"/>
              <w:jc w:val="center"/>
              <w:rPr>
                <w:rFonts w:hint="default" w:ascii="Segoe UI" w:hAnsi="Segoe UI" w:eastAsia="Segoe UI" w:cs="Segoe UI"/>
                <w:b/>
                <w:sz w:val="22"/>
                <w:szCs w:val="22"/>
              </w:rPr>
            </w:pPr>
            <w:r>
              <w:rPr>
                <w:rFonts w:hint="default" w:ascii="Segoe UI" w:hAnsi="Segoe UI" w:eastAsia="Segoe UI" w:cs="Segoe UI"/>
                <w:b/>
                <w:kern w:val="0"/>
                <w:sz w:val="22"/>
                <w:szCs w:val="22"/>
                <w:bdr w:val="none" w:color="auto" w:sz="0" w:space="0"/>
                <w:lang w:val="en-US" w:eastAsia="zh-CN" w:bidi="ar"/>
              </w:rPr>
              <w:t>Total Surveillance Fee</w:t>
            </w:r>
          </w:p>
        </w:tc>
        <w:tc>
          <w:tcPr>
            <w:tcW w:w="938" w:type="pct"/>
            <w:tcBorders>
              <w:top w:val="single" w:color="auto" w:sz="4" w:space="0"/>
              <w:left w:val="single" w:color="auto" w:sz="4" w:space="0"/>
              <w:bottom w:val="single" w:color="auto" w:sz="4" w:space="0"/>
              <w:right w:val="nil"/>
            </w:tcBorders>
            <w:shd w:val="clear"/>
            <w:noWrap w:val="0"/>
            <w:tcMar>
              <w:top w:w="150" w:type="dxa"/>
              <w:left w:w="240" w:type="dxa"/>
              <w:bottom w:w="150" w:type="dxa"/>
              <w:right w:w="240" w:type="dxa"/>
            </w:tcMar>
            <w:vAlign w:val="center"/>
          </w:tcPr>
          <w:p w14:paraId="094220B4">
            <w:pPr>
              <w:snapToGrid w:val="0"/>
              <w:ind w:left="0" w:leftChars="0" w:right="0" w:rightChars="0" w:firstLine="0" w:firstLineChars="0"/>
              <w:jc w:val="right"/>
              <w:rPr>
                <w:rFonts w:hint="default" w:ascii="Segoe UI" w:hAnsi="Segoe UI" w:eastAsia="Segoe UI" w:cs="Segoe UI"/>
                <w:b/>
                <w:sz w:val="22"/>
                <w:szCs w:val="22"/>
              </w:rPr>
            </w:pPr>
          </w:p>
        </w:tc>
        <w:tc>
          <w:tcPr>
            <w:tcW w:w="1174" w:type="pct"/>
            <w:vMerge w:val="continue"/>
            <w:tcBorders>
              <w:left w:val="single" w:color="auto" w:sz="4" w:space="0"/>
              <w:bottom w:val="single" w:color="auto" w:sz="4" w:space="0"/>
              <w:right w:val="single" w:color="auto" w:sz="12" w:space="0"/>
            </w:tcBorders>
            <w:shd w:val="clear"/>
            <w:noWrap w:val="0"/>
            <w:tcMar>
              <w:top w:w="150" w:type="dxa"/>
              <w:left w:w="240" w:type="dxa"/>
              <w:bottom w:w="150" w:type="dxa"/>
              <w:right w:w="-1" w:type="dxa"/>
            </w:tcMar>
            <w:vAlign w:val="center"/>
          </w:tcPr>
          <w:p w14:paraId="424D3CB2">
            <w:pPr>
              <w:snapToGrid w:val="0"/>
              <w:ind w:left="0" w:leftChars="0" w:right="0" w:rightChars="0" w:firstLine="0" w:firstLineChars="0"/>
              <w:jc w:val="center"/>
              <w:rPr>
                <w:rFonts w:hint="default" w:ascii="Segoe UI" w:hAnsi="Segoe UI" w:eastAsia="Segoe UI" w:cs="Segoe UI"/>
                <w:b/>
                <w:sz w:val="22"/>
                <w:szCs w:val="22"/>
              </w:rPr>
            </w:pPr>
          </w:p>
        </w:tc>
      </w:tr>
      <w:tr w14:paraId="24C7B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5000" w:type="pct"/>
            <w:gridSpan w:val="4"/>
            <w:tcBorders>
              <w:top w:val="single" w:color="auto" w:sz="4" w:space="0"/>
              <w:left w:val="single" w:color="auto" w:sz="4" w:space="0"/>
              <w:bottom w:val="single" w:color="auto" w:sz="4" w:space="0"/>
              <w:right w:val="single" w:color="auto" w:sz="4" w:space="0"/>
            </w:tcBorders>
            <w:shd w:val="clear"/>
            <w:noWrap w:val="0"/>
            <w:tcMar>
              <w:top w:w="150" w:type="dxa"/>
              <w:left w:w="-1" w:type="dxa"/>
              <w:bottom w:w="150" w:type="dxa"/>
              <w:right w:w="240" w:type="dxa"/>
            </w:tcMar>
            <w:vAlign w:val="center"/>
          </w:tcPr>
          <w:p w14:paraId="26C320A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b/>
                <w:sz w:val="22"/>
                <w:szCs w:val="22"/>
              </w:rPr>
            </w:pPr>
            <w:r>
              <w:rPr>
                <w:rFonts w:hint="default" w:ascii="Segoe UI" w:hAnsi="Segoe UI" w:eastAsia="Segoe UI" w:cs="Segoe UI"/>
                <w:i w:val="0"/>
                <w:iCs w:val="0"/>
                <w:caps w:val="0"/>
                <w:color w:val="0F1115"/>
                <w:spacing w:val="0"/>
                <w:sz w:val="24"/>
                <w:szCs w:val="24"/>
                <w:shd w:val="clear" w:fill="FFFFFF"/>
              </w:rPr>
              <w:t>Note 1: Accommodation and transportation expenses incurred by reviewers dispatched by Party B for providing review/evaluation services shall be borne by Party A according to actual costs.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Note 2: For additional copies of certificates, an extra payment of RMB 200 per set shall be made.</w:t>
            </w:r>
          </w:p>
        </w:tc>
      </w:tr>
    </w:tbl>
    <w:p w14:paraId="43BFADE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3.2</w:t>
      </w:r>
      <w:r>
        <w:rPr>
          <w:rFonts w:hint="default" w:ascii="Segoe UI" w:hAnsi="Segoe UI" w:eastAsia="Segoe UI" w:cs="Segoe UI"/>
          <w:i w:val="0"/>
          <w:iCs w:val="0"/>
          <w:caps w:val="0"/>
          <w:color w:val="0F1115"/>
          <w:spacing w:val="0"/>
          <w:sz w:val="24"/>
          <w:szCs w:val="24"/>
          <w:shd w:val="clear" w:fill="FFFFFF"/>
        </w:rPr>
        <w:t> If Party A's products are found to be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compliant during national supervisory spot checks, Party B shall conduct a surveillance review/evaluation on Party A (the surveillance review/evaluation shall be completed within 30 days from the date of the public announcement by the General Administration of Quality Supervision, Inspection and Quarantine), and Party A shall pay the surveillance review/evaluation fee to Party B in accordance with this Contract. If additional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reviews/evaluations are required by Party B due to serious complaints, serious accidents, serious non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conformities, scope changes, business address changes, standard revisions, etc., Party B shall charge Party A additional fees for such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reviews/evaluations, calculated based on the actual man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days of work incurred.</w:t>
      </w:r>
    </w:p>
    <w:p w14:paraId="59BEFB8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4 Obligations of Both Parties</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Both Party A and Party B shall comply with the "Regulations of the People's Republic of China on Certification and Accreditation" of the State Council and relevant national administrative rules and regulations on certification and accreditation.</w:t>
      </w:r>
    </w:p>
    <w:p w14:paraId="62FCC03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5 Rights and Obligations of Party A</w:t>
      </w:r>
    </w:p>
    <w:p w14:paraId="65BC3D5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5.1</w:t>
      </w:r>
      <w:r>
        <w:rPr>
          <w:rFonts w:hint="default" w:ascii="Segoe UI" w:hAnsi="Segoe UI" w:eastAsia="Segoe UI" w:cs="Segoe UI"/>
          <w:i w:val="0"/>
          <w:iCs w:val="0"/>
          <w:caps w:val="0"/>
          <w:color w:val="0F1115"/>
          <w:spacing w:val="0"/>
          <w:sz w:val="24"/>
          <w:szCs w:val="24"/>
          <w:shd w:val="clear" w:fill="FFFFFF"/>
        </w:rPr>
        <w:t> Establish and fully operate a system that covers the certification scope and conforms to the review/evaluation standard; Party A shall undertake that the evidence and records provided are authentic. If there is evidence that Party A has provided inauthentic evidence or records, Party B shall have the right to revoke the certification certificate issued to Party A at any time.</w:t>
      </w:r>
    </w:p>
    <w:p w14:paraId="3E56623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5.2</w:t>
      </w:r>
      <w:r>
        <w:rPr>
          <w:rFonts w:hint="default" w:ascii="Segoe UI" w:hAnsi="Segoe UI" w:eastAsia="Segoe UI" w:cs="Segoe UI"/>
          <w:i w:val="0"/>
          <w:iCs w:val="0"/>
          <w:caps w:val="0"/>
          <w:color w:val="0F1115"/>
          <w:spacing w:val="0"/>
          <w:sz w:val="24"/>
          <w:szCs w:val="24"/>
          <w:shd w:val="clear" w:fill="FFFFFF"/>
        </w:rPr>
        <w:t> Submit true and valid documented information of the system (e.g., manuals, procedures, records, etc.) to Party B; otherwise, Party A shall bear the corresponding certification risks.</w:t>
      </w:r>
    </w:p>
    <w:p w14:paraId="5FD166E4">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5.3</w:t>
      </w:r>
      <w:r>
        <w:rPr>
          <w:rFonts w:hint="default" w:ascii="Segoe UI" w:hAnsi="Segoe UI" w:eastAsia="Segoe UI" w:cs="Segoe UI"/>
          <w:i w:val="0"/>
          <w:iCs w:val="0"/>
          <w:caps w:val="0"/>
          <w:color w:val="0F1115"/>
          <w:spacing w:val="0"/>
          <w:sz w:val="24"/>
          <w:szCs w:val="24"/>
          <w:shd w:val="clear" w:fill="FFFFFF"/>
        </w:rPr>
        <w:t> Pay the review/evaluation fees and other costs to Party B in accordance with the contract.</w:t>
      </w:r>
    </w:p>
    <w:p w14:paraId="00D0F0E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5.4</w:t>
      </w:r>
      <w:r>
        <w:rPr>
          <w:rFonts w:hint="default" w:ascii="Segoe UI" w:hAnsi="Segoe UI" w:eastAsia="Segoe UI" w:cs="Segoe UI"/>
          <w:i w:val="0"/>
          <w:iCs w:val="0"/>
          <w:caps w:val="0"/>
          <w:color w:val="0F1115"/>
          <w:spacing w:val="0"/>
          <w:sz w:val="24"/>
          <w:szCs w:val="24"/>
          <w:shd w:val="clear" w:fill="FFFFFF"/>
        </w:rPr>
        <w:t> Provide the necessary working conditions for on</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site reviews/evaluations and bear the transportation and accommodation expenses of the reviewers according to actual expenditures.</w:t>
      </w:r>
    </w:p>
    <w:p w14:paraId="27780EA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5.5</w:t>
      </w:r>
      <w:r>
        <w:rPr>
          <w:rFonts w:hint="default" w:ascii="Segoe UI" w:hAnsi="Segoe UI" w:eastAsia="Segoe UI" w:cs="Segoe UI"/>
          <w:i w:val="0"/>
          <w:iCs w:val="0"/>
          <w:caps w:val="0"/>
          <w:color w:val="0F1115"/>
          <w:spacing w:val="0"/>
          <w:sz w:val="24"/>
          <w:szCs w:val="24"/>
          <w:shd w:val="clear" w:fill="FFFFFF"/>
        </w:rPr>
        <w:t> Continuously and effectively operate the system documents after certification.</w:t>
      </w:r>
    </w:p>
    <w:p w14:paraId="65F579A1">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5.6</w:t>
      </w:r>
      <w:r>
        <w:rPr>
          <w:rFonts w:hint="default" w:ascii="Segoe UI" w:hAnsi="Segoe UI" w:eastAsia="Segoe UI" w:cs="Segoe UI"/>
          <w:i w:val="0"/>
          <w:iCs w:val="0"/>
          <w:caps w:val="0"/>
          <w:color w:val="0F1115"/>
          <w:spacing w:val="0"/>
          <w:sz w:val="24"/>
          <w:szCs w:val="24"/>
          <w:shd w:val="clear" w:fill="FFFFFF"/>
        </w:rPr>
        <w:t> Undertake to comply with relevant laws and regulations on certification and accreditation, assist the certification regulatory authorities in supervision and inspection, and truthfully provide relevant materials and information in response to inquiries and investigations.</w:t>
      </w:r>
    </w:p>
    <w:p w14:paraId="03D48F1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5.7</w:t>
      </w:r>
      <w:r>
        <w:rPr>
          <w:rFonts w:hint="default" w:ascii="Segoe UI" w:hAnsi="Segoe UI" w:eastAsia="Segoe UI" w:cs="Segoe UI"/>
          <w:i w:val="0"/>
          <w:iCs w:val="0"/>
          <w:caps w:val="0"/>
          <w:color w:val="0F1115"/>
          <w:spacing w:val="0"/>
          <w:sz w:val="24"/>
          <w:szCs w:val="24"/>
          <w:shd w:val="clear" w:fill="FFFFFF"/>
        </w:rPr>
        <w:t> After obtaining certification, Party A shall promptly notify the certification body in the following circumstances: ① Significant complaints from clients or interested parties; ② The products produced or services provided are determined by law enforcement regulatory authorities not to meet statutory requirements; ③ Occurrence of quality or safety accidents involving products or services; ④ Changes in relevant circumstances, including: changes in legal status, production and operation status, organizational form or ownership; changes in administrative licensing qualifications, mandatory certification or other qualification certificates; changes in the legal representative, top management, or management representative; changes in the workplace for production, operation, or services; changes in the scope of activities covered by the system; significant changes in the management system and key processes; ⑤ Other important circumstances affecting the operation of the system.</w:t>
      </w:r>
    </w:p>
    <w:p w14:paraId="73D626BD">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5.8</w:t>
      </w:r>
      <w:r>
        <w:rPr>
          <w:rFonts w:hint="default" w:ascii="Segoe UI" w:hAnsi="Segoe UI" w:eastAsia="Segoe UI" w:cs="Segoe UI"/>
          <w:i w:val="0"/>
          <w:iCs w:val="0"/>
          <w:caps w:val="0"/>
          <w:color w:val="0F1115"/>
          <w:spacing w:val="0"/>
          <w:sz w:val="24"/>
          <w:szCs w:val="24"/>
          <w:shd w:val="clear" w:fill="FFFFFF"/>
        </w:rPr>
        <w:t> Party A shall take seriously and actively cooperate with confirmatory review/evaluation activities arranged by the China National Accreditation Service for Conformity Assessment (CNAS).</w:t>
      </w:r>
    </w:p>
    <w:p w14:paraId="58987AB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5.9</w:t>
      </w:r>
      <w:r>
        <w:rPr>
          <w:rFonts w:hint="default" w:ascii="Segoe UI" w:hAnsi="Segoe UI" w:eastAsia="Segoe UI" w:cs="Segoe UI"/>
          <w:i w:val="0"/>
          <w:iCs w:val="0"/>
          <w:caps w:val="0"/>
          <w:color w:val="0F1115"/>
          <w:spacing w:val="0"/>
          <w:sz w:val="24"/>
          <w:szCs w:val="24"/>
          <w:shd w:val="clear" w:fill="FFFFFF"/>
        </w:rPr>
        <w:t> Undertake to correctly use the certification certificate, certification marks, and related information after obtaining service certification; not to misuse the service certification certificate and related text or symbols to mislead the public into believing that its products or management system are certified.</w:t>
      </w:r>
    </w:p>
    <w:p w14:paraId="3D70A81A">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5.10</w:t>
      </w:r>
      <w:r>
        <w:rPr>
          <w:rFonts w:hint="default" w:ascii="Segoe UI" w:hAnsi="Segoe UI" w:eastAsia="Segoe UI" w:cs="Segoe UI"/>
          <w:i w:val="0"/>
          <w:iCs w:val="0"/>
          <w:caps w:val="0"/>
          <w:color w:val="0F1115"/>
          <w:spacing w:val="0"/>
          <w:sz w:val="24"/>
          <w:szCs w:val="24"/>
          <w:shd w:val="clear" w:fill="FFFFFF"/>
        </w:rPr>
        <w:t> Party A shall have the right to file complaints and appeals with Party B's Customer Service Department or relevant regulatory bodies regarding certification activities.</w:t>
      </w:r>
    </w:p>
    <w:p w14:paraId="308A9CA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5.11</w:t>
      </w:r>
      <w:r>
        <w:rPr>
          <w:rFonts w:hint="default" w:ascii="Segoe UI" w:hAnsi="Segoe UI" w:eastAsia="Segoe UI" w:cs="Segoe UI"/>
          <w:i w:val="0"/>
          <w:iCs w:val="0"/>
          <w:caps w:val="0"/>
          <w:color w:val="0F1115"/>
          <w:spacing w:val="0"/>
          <w:sz w:val="24"/>
          <w:szCs w:val="24"/>
          <w:shd w:val="clear" w:fill="FFFFFF"/>
        </w:rPr>
        <w:t> During the period of suspension or revocation of Party A's certificate, Party A shall immediately cease to promote its certified status and shall immediately cease using any advertising materials that promote its certified status; if the certification scope is reduced, all advertising materials shall be revised accordingly.</w:t>
      </w:r>
    </w:p>
    <w:p w14:paraId="4E84CF2E">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6 Rights and Obligations of Party B</w:t>
      </w:r>
    </w:p>
    <w:p w14:paraId="5C9D3D5F">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6.1</w:t>
      </w:r>
      <w:r>
        <w:rPr>
          <w:rFonts w:hint="default" w:ascii="Segoe UI" w:hAnsi="Segoe UI" w:eastAsia="Segoe UI" w:cs="Segoe UI"/>
          <w:i w:val="0"/>
          <w:iCs w:val="0"/>
          <w:caps w:val="0"/>
          <w:color w:val="0F1115"/>
          <w:spacing w:val="0"/>
          <w:sz w:val="24"/>
          <w:szCs w:val="24"/>
          <w:shd w:val="clear" w:fill="FFFFFF"/>
        </w:rPr>
        <w:t> Provide qualification documents and public documents to Party A, and submit the review/evaluation plan to Party A as agreed.</w:t>
      </w:r>
    </w:p>
    <w:p w14:paraId="12E9C355">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6.2</w:t>
      </w:r>
      <w:r>
        <w:rPr>
          <w:rFonts w:hint="default" w:ascii="Segoe UI" w:hAnsi="Segoe UI" w:eastAsia="Segoe UI" w:cs="Segoe UI"/>
          <w:i w:val="0"/>
          <w:iCs w:val="0"/>
          <w:caps w:val="0"/>
          <w:color w:val="0F1115"/>
          <w:spacing w:val="0"/>
          <w:sz w:val="24"/>
          <w:szCs w:val="24"/>
          <w:shd w:val="clear" w:fill="FFFFFF"/>
        </w:rPr>
        <w:t> After receiving the corresponding fees paid by Party A in accordance with the contract, arrange for the review/evaluation team to carry out the review/evaluation.</w:t>
      </w:r>
    </w:p>
    <w:p w14:paraId="564EEC77">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6.3</w:t>
      </w:r>
      <w:r>
        <w:rPr>
          <w:rFonts w:hint="default" w:ascii="Segoe UI" w:hAnsi="Segoe UI" w:eastAsia="Segoe UI" w:cs="Segoe UI"/>
          <w:i w:val="0"/>
          <w:iCs w:val="0"/>
          <w:caps w:val="0"/>
          <w:color w:val="0F1115"/>
          <w:spacing w:val="0"/>
          <w:sz w:val="24"/>
          <w:szCs w:val="24"/>
          <w:shd w:val="clear" w:fill="FFFFFF"/>
        </w:rPr>
        <w:t> Comply with the confidentiality statement; without Party A's consent, Party B shall not provide any confidential information of Party A to any third party (except where required by law).</w:t>
      </w:r>
    </w:p>
    <w:p w14:paraId="0BFEB82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6.4</w:t>
      </w:r>
      <w:r>
        <w:rPr>
          <w:rFonts w:hint="default" w:ascii="Segoe UI" w:hAnsi="Segoe UI" w:eastAsia="Segoe UI" w:cs="Segoe UI"/>
          <w:i w:val="0"/>
          <w:iCs w:val="0"/>
          <w:caps w:val="0"/>
          <w:color w:val="0F1115"/>
          <w:spacing w:val="0"/>
          <w:sz w:val="24"/>
          <w:szCs w:val="24"/>
          <w:shd w:val="clear" w:fill="FFFFFF"/>
        </w:rPr>
        <w:t> After Party A obtains certification, Party B shall regularly conduct surveillance reviews/evaluations on its service certification.</w:t>
      </w:r>
    </w:p>
    <w:p w14:paraId="6EC6BD2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6.5</w:t>
      </w:r>
      <w:r>
        <w:rPr>
          <w:rFonts w:hint="default" w:ascii="Segoe UI" w:hAnsi="Segoe UI" w:eastAsia="Segoe UI" w:cs="Segoe UI"/>
          <w:i w:val="0"/>
          <w:iCs w:val="0"/>
          <w:caps w:val="0"/>
          <w:color w:val="0F1115"/>
          <w:spacing w:val="0"/>
          <w:sz w:val="24"/>
          <w:szCs w:val="24"/>
          <w:shd w:val="clear" w:fill="FFFFFF"/>
        </w:rPr>
        <w:t> Party B shall have the right to suspend or revoke the certification certificate of Party A for violation of relevant regulations and to issue a public announcement of suspension or revocation.</w:t>
      </w:r>
    </w:p>
    <w:p w14:paraId="6AD6EB83">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7</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If Party A fails to perform this Contract or unilaterally terminates the review/evaluation midway, Party A shall still pay the full fees.</w:t>
      </w:r>
    </w:p>
    <w:p w14:paraId="09FE1EA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8</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Provided that Party A's system continuously meets the relevant standards and passes surveillance reviews/evaluations conducted by Party B in accordance with relevant regulations, the certificate shall be valid for three years, and at expiry, Party B shall renew the certificate through a re</w:t>
      </w:r>
      <w:r>
        <w:rPr>
          <w:rFonts w:hint="default" w:ascii="Segoe UI" w:hAnsi="Segoe UI" w:eastAsia="Segoe UI" w:cs="Segoe UI"/>
          <w:i w:val="0"/>
          <w:iCs w:val="0"/>
          <w:caps w:val="0"/>
          <w:color w:val="0F1115"/>
          <w:spacing w:val="0"/>
          <w:sz w:val="24"/>
          <w:szCs w:val="24"/>
          <w:shd w:val="clear" w:fill="FFFFFF"/>
        </w:rPr>
        <w:noBreakHyphen/>
      </w:r>
      <w:r>
        <w:rPr>
          <w:rFonts w:hint="default" w:ascii="Segoe UI" w:hAnsi="Segoe UI" w:eastAsia="Segoe UI" w:cs="Segoe UI"/>
          <w:i w:val="0"/>
          <w:iCs w:val="0"/>
          <w:caps w:val="0"/>
          <w:color w:val="0F1115"/>
          <w:spacing w:val="0"/>
          <w:sz w:val="24"/>
          <w:szCs w:val="24"/>
          <w:shd w:val="clear" w:fill="FFFFFF"/>
        </w:rPr>
        <w:t>certification review/evaluation.</w:t>
      </w:r>
    </w:p>
    <w:p w14:paraId="694E8C76">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9</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During the validity period of the certification certificate issued by Party B to Party A, if any direct or indirect loss is caused to Party A or any related party due to intentional or negligent acts of Party B or personnel assigned by Party B in the course of performing tasks delegated by Party B, to the extent that Party B is liable for compensation, the maximum compensation amount payable by Party B shall be twice the certification fee actually collected by Party B.</w:t>
      </w:r>
    </w:p>
    <w:p w14:paraId="0E9D5260">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10</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Any dispute arising during the implementation of this Contract shall be settled through friendly negotiation between the parties. If negotiation fails, either party shall have the right to submit the dispute to the Chengdu Arbitration Commission for arbitration, and the award of the Chengdu Arbitration Commission shall be final.</w:t>
      </w:r>
    </w:p>
    <w:p w14:paraId="712AC6D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spacing w:val="0"/>
          <w:sz w:val="24"/>
          <w:szCs w:val="24"/>
        </w:rPr>
      </w:pPr>
      <w:r>
        <w:rPr>
          <w:rFonts w:hint="default" w:ascii="Segoe UI" w:hAnsi="Segoe UI" w:eastAsia="Segoe UI" w:cs="Segoe UI"/>
          <w:b/>
          <w:bCs/>
          <w:i w:val="0"/>
          <w:iCs w:val="0"/>
          <w:caps w:val="0"/>
          <w:color w:val="0F1115"/>
          <w:spacing w:val="0"/>
          <w:sz w:val="24"/>
          <w:szCs w:val="24"/>
          <w:shd w:val="clear" w:fill="FFFFFF"/>
        </w:rPr>
        <w:t>Article 11</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Contract shall take effect upon signature by both parties. Matters not covered herein shall be agreed upon through supplementary agreements, which shall have the same legal effect as this Contract.</w:t>
      </w:r>
    </w:p>
    <w:p w14:paraId="65E4958B">
      <w:pPr>
        <w:pStyle w:val="2"/>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b/>
          <w:bCs/>
          <w:i w:val="0"/>
          <w:iCs w:val="0"/>
          <w:caps w:val="0"/>
          <w:color w:val="0F1115"/>
          <w:spacing w:val="0"/>
          <w:sz w:val="24"/>
          <w:szCs w:val="24"/>
          <w:shd w:val="clear" w:fill="FFFFFF"/>
        </w:rPr>
        <w:t>Article 12</w:t>
      </w:r>
      <w:r>
        <w:rPr>
          <w:rFonts w:hint="default" w:ascii="Segoe UI" w:hAnsi="Segoe UI" w:eastAsia="Segoe UI" w:cs="Segoe UI"/>
          <w:i w:val="0"/>
          <w:iCs w:val="0"/>
          <w:caps w:val="0"/>
          <w:color w:val="0F1115"/>
          <w:spacing w:val="0"/>
          <w:sz w:val="24"/>
          <w:szCs w:val="24"/>
          <w:shd w:val="clear" w:fill="FFFFFF"/>
        </w:rPr>
        <w:br w:type="textWrapping"/>
      </w:r>
      <w:r>
        <w:rPr>
          <w:rFonts w:hint="default" w:ascii="Segoe UI" w:hAnsi="Segoe UI" w:eastAsia="Segoe UI" w:cs="Segoe UI"/>
          <w:i w:val="0"/>
          <w:iCs w:val="0"/>
          <w:caps w:val="0"/>
          <w:color w:val="0F1115"/>
          <w:spacing w:val="0"/>
          <w:sz w:val="24"/>
          <w:szCs w:val="24"/>
          <w:shd w:val="clear" w:fill="FFFFFF"/>
        </w:rPr>
        <w:t>This Contract is executed in duplicate, with Party A holding one copy and Party B holding the other.</w:t>
      </w:r>
    </w:p>
    <w:tbl>
      <w:tblPr>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786"/>
        <w:gridCol w:w="2235"/>
        <w:gridCol w:w="2025"/>
        <w:gridCol w:w="2515"/>
      </w:tblGrid>
      <w:tr w14:paraId="3137B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tblHeader/>
          <w:jc w:val="center"/>
        </w:trPr>
        <w:tc>
          <w:tcPr>
            <w:tcW w:w="1043" w:type="pct"/>
            <w:tcBorders>
              <w:top w:val="single" w:color="auto" w:sz="12" w:space="0"/>
              <w:left w:val="single" w:color="auto" w:sz="12" w:space="0"/>
              <w:bottom w:val="nil"/>
              <w:right w:val="nil"/>
            </w:tcBorders>
            <w:shd w:val="clear"/>
            <w:noWrap w:val="0"/>
            <w:tcMar>
              <w:top w:w="150" w:type="dxa"/>
              <w:left w:w="-1" w:type="dxa"/>
              <w:bottom w:w="150" w:type="dxa"/>
              <w:right w:w="240" w:type="dxa"/>
            </w:tcMar>
            <w:vAlign w:val="center"/>
          </w:tcPr>
          <w:p w14:paraId="188D1F02">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A (Seal):</w:t>
            </w:r>
          </w:p>
        </w:tc>
        <w:tc>
          <w:tcPr>
            <w:tcW w:w="1305"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4BBB5704">
            <w:pPr>
              <w:snapToGrid w:val="0"/>
              <w:jc w:val="left"/>
              <w:rPr>
                <w:rFonts w:hint="default" w:ascii="Segoe UI" w:hAnsi="Segoe UI" w:eastAsia="Segoe UI" w:cs="Segoe UI"/>
                <w:sz w:val="22"/>
                <w:szCs w:val="22"/>
              </w:rPr>
            </w:pPr>
          </w:p>
        </w:tc>
        <w:tc>
          <w:tcPr>
            <w:tcW w:w="1182" w:type="pct"/>
            <w:tcBorders>
              <w:top w:val="single" w:color="auto" w:sz="12" w:space="0"/>
              <w:left w:val="single" w:color="auto" w:sz="4" w:space="0"/>
              <w:bottom w:val="nil"/>
              <w:right w:val="nil"/>
            </w:tcBorders>
            <w:shd w:val="clear"/>
            <w:noWrap w:val="0"/>
            <w:tcMar>
              <w:top w:w="150" w:type="dxa"/>
              <w:left w:w="240" w:type="dxa"/>
              <w:bottom w:w="150" w:type="dxa"/>
              <w:right w:w="240" w:type="dxa"/>
            </w:tcMar>
            <w:vAlign w:val="center"/>
          </w:tcPr>
          <w:p w14:paraId="25475BB1">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Party B (Seal):</w:t>
            </w:r>
          </w:p>
        </w:tc>
        <w:tc>
          <w:tcPr>
            <w:tcW w:w="1468" w:type="pct"/>
            <w:tcBorders>
              <w:top w:val="single" w:color="auto" w:sz="12" w:space="0"/>
              <w:left w:val="single" w:color="auto" w:sz="4" w:space="0"/>
              <w:bottom w:val="nil"/>
              <w:right w:val="single" w:color="auto" w:sz="12" w:space="0"/>
            </w:tcBorders>
            <w:shd w:val="clear"/>
            <w:noWrap w:val="0"/>
            <w:tcMar>
              <w:top w:w="150" w:type="dxa"/>
              <w:left w:w="240" w:type="dxa"/>
              <w:bottom w:w="150" w:type="dxa"/>
              <w:right w:w="240" w:type="dxa"/>
            </w:tcMar>
            <w:vAlign w:val="center"/>
          </w:tcPr>
          <w:p w14:paraId="08959802">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Zhongsheng Deshang Inspection &amp; Certification (Chengdu) Co., LTD.</w:t>
            </w:r>
          </w:p>
        </w:tc>
      </w:tr>
      <w:tr w14:paraId="45DE1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362A2147">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Address:</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3E44E953">
            <w:pPr>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B3DF7B7">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Account Name:</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3AC9B53">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Zhongsheng Deshang Inspection &amp; Certification (Chengdu) Co., LTD.</w:t>
            </w:r>
          </w:p>
        </w:tc>
      </w:tr>
      <w:tr w14:paraId="4689A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097120E5">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Tel.:</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6D91A57A">
            <w:pPr>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2F510CC">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Bank Code:</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2557AB94">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305651000157</w:t>
            </w:r>
          </w:p>
        </w:tc>
      </w:tr>
      <w:tr w14:paraId="0B67F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30786862">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Mobile:</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2D292249">
            <w:pPr>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248C05F">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Bank:</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00A0EB10">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China Minsheng Bank Co., Ltd. Chengdu Dongfeng Sub-branch</w:t>
            </w:r>
          </w:p>
        </w:tc>
      </w:tr>
      <w:tr w14:paraId="459E4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18C5B979">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Fax:</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6225C1D">
            <w:pPr>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4BC2B4AE">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Account No.:</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4359568D">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150595795</w:t>
            </w:r>
          </w:p>
        </w:tc>
      </w:tr>
      <w:tr w14:paraId="2CA92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nil"/>
              <w:right w:val="nil"/>
            </w:tcBorders>
            <w:shd w:val="clear"/>
            <w:noWrap w:val="0"/>
            <w:tcMar>
              <w:top w:w="150" w:type="dxa"/>
              <w:left w:w="-1" w:type="dxa"/>
              <w:bottom w:w="150" w:type="dxa"/>
              <w:right w:w="240" w:type="dxa"/>
            </w:tcMar>
            <w:vAlign w:val="center"/>
          </w:tcPr>
          <w:p w14:paraId="0654C2FC">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Representative of Party A:</w:t>
            </w:r>
          </w:p>
        </w:tc>
        <w:tc>
          <w:tcPr>
            <w:tcW w:w="1305"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183C828F">
            <w:pPr>
              <w:snapToGrid w:val="0"/>
              <w:rPr>
                <w:rFonts w:hint="default" w:ascii="Segoe UI" w:hAnsi="Segoe UI" w:eastAsia="Segoe UI" w:cs="Segoe UI"/>
                <w:sz w:val="22"/>
                <w:szCs w:val="22"/>
              </w:rPr>
            </w:pPr>
          </w:p>
        </w:tc>
        <w:tc>
          <w:tcPr>
            <w:tcW w:w="1182" w:type="pct"/>
            <w:tcBorders>
              <w:top w:val="single" w:color="auto" w:sz="4" w:space="0"/>
              <w:left w:val="single" w:color="auto" w:sz="4" w:space="0"/>
              <w:bottom w:val="nil"/>
              <w:right w:val="nil"/>
            </w:tcBorders>
            <w:shd w:val="clear"/>
            <w:noWrap w:val="0"/>
            <w:tcMar>
              <w:top w:w="150" w:type="dxa"/>
              <w:left w:w="240" w:type="dxa"/>
              <w:bottom w:w="150" w:type="dxa"/>
              <w:right w:w="240" w:type="dxa"/>
            </w:tcMar>
            <w:vAlign w:val="center"/>
          </w:tcPr>
          <w:p w14:paraId="05D22179">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Representative of Party B:</w:t>
            </w:r>
          </w:p>
        </w:tc>
        <w:tc>
          <w:tcPr>
            <w:tcW w:w="1468" w:type="pct"/>
            <w:tcBorders>
              <w:top w:val="single" w:color="auto" w:sz="4" w:space="0"/>
              <w:left w:val="single" w:color="auto" w:sz="4" w:space="0"/>
              <w:bottom w:val="nil"/>
              <w:right w:val="single" w:color="auto" w:sz="12" w:space="0"/>
            </w:tcBorders>
            <w:shd w:val="clear"/>
            <w:noWrap w:val="0"/>
            <w:tcMar>
              <w:top w:w="150" w:type="dxa"/>
              <w:left w:w="240" w:type="dxa"/>
              <w:bottom w:w="150" w:type="dxa"/>
              <w:right w:w="-1" w:type="dxa"/>
            </w:tcMar>
            <w:vAlign w:val="center"/>
          </w:tcPr>
          <w:p w14:paraId="47B3E627">
            <w:pPr>
              <w:snapToGrid w:val="0"/>
              <w:rPr>
                <w:rFonts w:hint="default" w:ascii="Segoe UI" w:hAnsi="Segoe UI" w:eastAsia="Segoe UI" w:cs="Segoe UI"/>
                <w:sz w:val="22"/>
                <w:szCs w:val="22"/>
              </w:rPr>
            </w:pPr>
          </w:p>
        </w:tc>
      </w:tr>
      <w:tr w14:paraId="2300A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rPr>
          <w:trHeight w:val="0" w:hRule="atLeast"/>
          <w:jc w:val="center"/>
        </w:trPr>
        <w:tc>
          <w:tcPr>
            <w:tcW w:w="1043" w:type="pct"/>
            <w:tcBorders>
              <w:top w:val="single" w:color="auto" w:sz="4" w:space="0"/>
              <w:left w:val="single" w:color="auto" w:sz="12" w:space="0"/>
              <w:bottom w:val="single" w:color="auto" w:sz="12" w:space="0"/>
              <w:right w:val="nil"/>
            </w:tcBorders>
            <w:shd w:val="clear"/>
            <w:noWrap w:val="0"/>
            <w:tcMar>
              <w:top w:w="150" w:type="dxa"/>
              <w:left w:w="-1" w:type="dxa"/>
              <w:bottom w:w="150" w:type="dxa"/>
              <w:right w:w="240" w:type="dxa"/>
            </w:tcMar>
            <w:vAlign w:val="center"/>
          </w:tcPr>
          <w:p w14:paraId="211768A4">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Date:</w:t>
            </w:r>
          </w:p>
        </w:tc>
        <w:tc>
          <w:tcPr>
            <w:tcW w:w="1305"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17D9E2F6">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(Year/Month/Day)</w:t>
            </w:r>
          </w:p>
        </w:tc>
        <w:tc>
          <w:tcPr>
            <w:tcW w:w="1182" w:type="pct"/>
            <w:tcBorders>
              <w:top w:val="single" w:color="auto" w:sz="4" w:space="0"/>
              <w:left w:val="single" w:color="auto" w:sz="4" w:space="0"/>
              <w:bottom w:val="single" w:color="auto" w:sz="12" w:space="0"/>
              <w:right w:val="nil"/>
            </w:tcBorders>
            <w:shd w:val="clear"/>
            <w:noWrap w:val="0"/>
            <w:tcMar>
              <w:top w:w="150" w:type="dxa"/>
              <w:left w:w="240" w:type="dxa"/>
              <w:bottom w:w="150" w:type="dxa"/>
              <w:right w:w="240" w:type="dxa"/>
            </w:tcMar>
            <w:vAlign w:val="center"/>
          </w:tcPr>
          <w:p w14:paraId="64176A6B">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Date:</w:t>
            </w:r>
          </w:p>
        </w:tc>
        <w:tc>
          <w:tcPr>
            <w:tcW w:w="1468" w:type="pct"/>
            <w:tcBorders>
              <w:top w:val="single" w:color="auto" w:sz="4" w:space="0"/>
              <w:left w:val="single" w:color="auto" w:sz="4" w:space="0"/>
              <w:bottom w:val="single" w:color="auto" w:sz="12" w:space="0"/>
              <w:right w:val="single" w:color="auto" w:sz="12" w:space="0"/>
            </w:tcBorders>
            <w:shd w:val="clear"/>
            <w:noWrap w:val="0"/>
            <w:tcMar>
              <w:top w:w="150" w:type="dxa"/>
              <w:left w:w="240" w:type="dxa"/>
              <w:bottom w:w="150" w:type="dxa"/>
              <w:right w:w="-1" w:type="dxa"/>
            </w:tcMar>
            <w:vAlign w:val="center"/>
          </w:tcPr>
          <w:p w14:paraId="5BA8C8DC">
            <w:pPr>
              <w:keepNext w:val="0"/>
              <w:keepLines w:val="0"/>
              <w:widowControl/>
              <w:suppressLineNumbers w:val="0"/>
              <w:snapToGrid w:val="0"/>
              <w:spacing w:line="375" w:lineRule="atLeast"/>
              <w:jc w:val="left"/>
              <w:rPr>
                <w:rFonts w:hint="default" w:ascii="Segoe UI" w:hAnsi="Segoe UI" w:eastAsia="Segoe UI" w:cs="Segoe UI"/>
                <w:sz w:val="22"/>
                <w:szCs w:val="22"/>
              </w:rPr>
            </w:pPr>
            <w:r>
              <w:rPr>
                <w:rFonts w:hint="default" w:ascii="Segoe UI" w:hAnsi="Segoe UI" w:eastAsia="Segoe UI" w:cs="Segoe UI"/>
                <w:kern w:val="0"/>
                <w:sz w:val="22"/>
                <w:szCs w:val="22"/>
                <w:bdr w:val="none" w:color="auto" w:sz="0" w:space="0"/>
                <w:lang w:val="en-US" w:eastAsia="zh-CN" w:bidi="ar"/>
              </w:rPr>
              <w:t>(Year/Month/Day)</w:t>
            </w:r>
          </w:p>
        </w:tc>
      </w:tr>
    </w:tbl>
    <w:p w14:paraId="63C31A1D">
      <w:pPr>
        <w:pStyle w:val="2"/>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Version: CRC-QR043-3 A/1 Integrity</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Professionalism</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Sincerity</w:t>
      </w:r>
      <w:r>
        <w:rPr>
          <w:rFonts w:hint="eastAsia" w:ascii="Segoe UI" w:hAnsi="Segoe UI" w:eastAsia="宋体" w:cs="Segoe UI"/>
          <w:i w:val="0"/>
          <w:iCs w:val="0"/>
          <w:caps w:val="0"/>
          <w:color w:val="0F1115"/>
          <w:spacing w:val="0"/>
          <w:sz w:val="24"/>
          <w:szCs w:val="24"/>
          <w:shd w:val="clear" w:fill="FFFFFF"/>
          <w:lang w:val="en-US" w:eastAsia="zh-CN"/>
        </w:rPr>
        <w:t xml:space="preserve"> </w:t>
      </w:r>
      <w:r>
        <w:rPr>
          <w:rFonts w:hint="default" w:ascii="Segoe UI" w:hAnsi="Segoe UI" w:eastAsia="Segoe UI" w:cs="Segoe UI"/>
          <w:i w:val="0"/>
          <w:iCs w:val="0"/>
          <w:caps w:val="0"/>
          <w:color w:val="0F1115"/>
          <w:spacing w:val="0"/>
          <w:sz w:val="24"/>
          <w:szCs w:val="24"/>
          <w:shd w:val="clear" w:fill="FFFFFF"/>
        </w:rPr>
        <w:t>Trustworthiness</w:t>
      </w:r>
    </w:p>
    <w:p w14:paraId="71AD76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9D0AF5"/>
    <w:rsid w:val="349D0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1</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2026-06-29T02:13:00Z</dcterms:created>
  <dc:creator>汤琴</dc:creator>
  <cp:lastModifiedBy>汤琴</cp:lastModifiedBy>
  <dcterms:modified xsi:type="dcterms:W3CDTF">2026-06-29T02:17:31Z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FA1957D8BF0648E0A8304FC2464552BF_11</vt:lpwstr>
  </property>
  <property fmtid="{D5CDD505-2E9C-101B-9397-08002B2CF9AE}" pid="4" name="KSOTemplateDocerSaveRecord">
    <vt:lpwstr>eyJoZGlkIjoiMDhlMjUxYWMxZTYyZDA0NWFmNTBiZjNkNDViYWQyMDAiLCJ1c2VySWQiOiIxMTM0MjA5MDIxIn0=</vt:lpwstr>
  </property>
</Properties>
</file>