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330EE6">
      <w:pPr>
        <w:pStyle w:val="2"/>
        <w:keepNext w:val="0"/>
        <w:keepLines w:val="0"/>
        <w:widowControl/>
        <w:suppressLineNumbers w:val="0"/>
        <w:shd w:val="clear" w:fill="FFFFFF"/>
        <w:spacing w:before="0" w:beforeAutospacing="0" w:after="240" w:afterAutospacing="0"/>
        <w:ind w:left="0" w:right="0" w:firstLine="0"/>
        <w:jc w:val="right"/>
        <w:rPr>
          <w:rFonts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Document No.: CRC-QP-VV02-2026</w:t>
      </w:r>
    </w:p>
    <w:p w14:paraId="46918EE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b/>
          <w:bCs/>
          <w:i w:val="0"/>
          <w:iCs w:val="0"/>
          <w:caps w:val="0"/>
          <w:color w:val="0F1115"/>
          <w:spacing w:val="0"/>
          <w:sz w:val="24"/>
          <w:szCs w:val="24"/>
          <w:shd w:val="clear" w:fill="FFFFFF"/>
        </w:rPr>
      </w:pPr>
    </w:p>
    <w:p w14:paraId="42BD41C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b/>
          <w:bCs/>
          <w:i w:val="0"/>
          <w:iCs w:val="0"/>
          <w:caps w:val="0"/>
          <w:color w:val="0F1115"/>
          <w:spacing w:val="0"/>
          <w:sz w:val="24"/>
          <w:szCs w:val="24"/>
          <w:shd w:val="clear" w:fill="FFFFFF"/>
        </w:rPr>
      </w:pPr>
      <w:r>
        <w:rPr>
          <w:rFonts w:hint="eastAsia"/>
          <w:color w:val="auto"/>
          <w:sz w:val="52"/>
          <w:szCs w:val="52"/>
        </w:rPr>
        <w:drawing>
          <wp:anchor distT="0" distB="0" distL="114300" distR="114300" simplePos="0" relativeHeight="251659264" behindDoc="0" locked="0" layoutInCell="1" allowOverlap="1">
            <wp:simplePos x="0" y="0"/>
            <wp:positionH relativeFrom="column">
              <wp:posOffset>1423035</wp:posOffset>
            </wp:positionH>
            <wp:positionV relativeFrom="paragraph">
              <wp:posOffset>116840</wp:posOffset>
            </wp:positionV>
            <wp:extent cx="2314575" cy="1609725"/>
            <wp:effectExtent l="0" t="0" r="9525" b="9525"/>
            <wp:wrapNone/>
            <wp:docPr id="1" name="图片 1" descr="16681497989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668149798979(1)"/>
                    <pic:cNvPicPr>
                      <a:picLocks noChangeAspect="1"/>
                    </pic:cNvPicPr>
                  </pic:nvPicPr>
                  <pic:blipFill>
                    <a:blip r:embed="rId4"/>
                    <a:stretch>
                      <a:fillRect/>
                    </a:stretch>
                  </pic:blipFill>
                  <pic:spPr>
                    <a:xfrm>
                      <a:off x="0" y="0"/>
                      <a:ext cx="2314575" cy="1609725"/>
                    </a:xfrm>
                    <a:prstGeom prst="rect">
                      <a:avLst/>
                    </a:prstGeom>
                  </pic:spPr>
                </pic:pic>
              </a:graphicData>
            </a:graphic>
          </wp:anchor>
        </w:drawing>
      </w:r>
    </w:p>
    <w:p w14:paraId="0975FBF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b/>
          <w:bCs/>
          <w:i w:val="0"/>
          <w:iCs w:val="0"/>
          <w:caps w:val="0"/>
          <w:color w:val="0F1115"/>
          <w:spacing w:val="0"/>
          <w:sz w:val="24"/>
          <w:szCs w:val="24"/>
          <w:shd w:val="clear" w:fill="FFFFFF"/>
        </w:rPr>
      </w:pPr>
    </w:p>
    <w:p w14:paraId="202B57D8">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b/>
          <w:bCs/>
          <w:i w:val="0"/>
          <w:iCs w:val="0"/>
          <w:caps w:val="0"/>
          <w:color w:val="0F1115"/>
          <w:spacing w:val="0"/>
          <w:sz w:val="24"/>
          <w:szCs w:val="24"/>
          <w:shd w:val="clear" w:fill="FFFFFF"/>
        </w:rPr>
      </w:pPr>
    </w:p>
    <w:p w14:paraId="6FED856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b/>
          <w:bCs/>
          <w:i w:val="0"/>
          <w:iCs w:val="0"/>
          <w:caps w:val="0"/>
          <w:color w:val="0F1115"/>
          <w:spacing w:val="0"/>
          <w:sz w:val="24"/>
          <w:szCs w:val="24"/>
          <w:shd w:val="clear" w:fill="FFFFFF"/>
        </w:rPr>
      </w:pPr>
    </w:p>
    <w:p w14:paraId="3629039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b/>
          <w:bCs/>
          <w:i w:val="0"/>
          <w:iCs w:val="0"/>
          <w:caps w:val="0"/>
          <w:color w:val="0F1115"/>
          <w:spacing w:val="0"/>
          <w:sz w:val="24"/>
          <w:szCs w:val="24"/>
          <w:shd w:val="clear" w:fill="FFFFFF"/>
        </w:rPr>
      </w:pPr>
    </w:p>
    <w:p w14:paraId="37CA6F6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b/>
          <w:bCs/>
          <w:i w:val="0"/>
          <w:iCs w:val="0"/>
          <w:caps w:val="0"/>
          <w:color w:val="0F1115"/>
          <w:spacing w:val="0"/>
          <w:sz w:val="24"/>
          <w:szCs w:val="24"/>
          <w:shd w:val="clear" w:fill="FFFFFF"/>
        </w:rPr>
      </w:pPr>
    </w:p>
    <w:p w14:paraId="46B4479A">
      <w:pPr>
        <w:pStyle w:val="2"/>
        <w:keepNext w:val="0"/>
        <w:keepLines w:val="0"/>
        <w:widowControl/>
        <w:suppressLineNumbers w:val="0"/>
        <w:shd w:val="clear" w:fill="FFFFFF"/>
        <w:spacing w:before="240" w:beforeAutospacing="0" w:after="240" w:afterAutospacing="0"/>
        <w:ind w:left="0" w:right="0" w:firstLine="0"/>
        <w:jc w:val="center"/>
        <w:rPr>
          <w:rFonts w:hint="default" w:ascii="Segoe UI" w:hAnsi="Segoe UI" w:eastAsia="Segoe UI" w:cs="Segoe UI"/>
          <w:i w:val="0"/>
          <w:iCs w:val="0"/>
          <w:caps w:val="0"/>
          <w:color w:val="0F1115"/>
          <w:spacing w:val="0"/>
          <w:sz w:val="44"/>
          <w:szCs w:val="44"/>
        </w:rPr>
      </w:pPr>
      <w:r>
        <w:rPr>
          <w:rFonts w:hint="default" w:ascii="Segoe UI" w:hAnsi="Segoe UI" w:eastAsia="Segoe UI" w:cs="Segoe UI"/>
          <w:b/>
          <w:bCs/>
          <w:i w:val="0"/>
          <w:iCs w:val="0"/>
          <w:caps w:val="0"/>
          <w:color w:val="0F1115"/>
          <w:spacing w:val="0"/>
          <w:sz w:val="44"/>
          <w:szCs w:val="44"/>
          <w:shd w:val="clear" w:fill="FFFFFF"/>
        </w:rPr>
        <w:t>Zhongsheng Deshang Inspection &amp; Certification (Chengdu) Co., LTD.</w:t>
      </w:r>
    </w:p>
    <w:p w14:paraId="0257F51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b/>
          <w:bCs/>
          <w:i w:val="0"/>
          <w:iCs w:val="0"/>
          <w:caps w:val="0"/>
          <w:color w:val="0F1115"/>
          <w:spacing w:val="0"/>
          <w:sz w:val="24"/>
          <w:szCs w:val="24"/>
          <w:shd w:val="clear" w:fill="FFFFFF"/>
        </w:rPr>
      </w:pPr>
    </w:p>
    <w:p w14:paraId="6EDFAFF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b/>
          <w:bCs/>
          <w:i w:val="0"/>
          <w:iCs w:val="0"/>
          <w:caps w:val="0"/>
          <w:color w:val="0F1115"/>
          <w:spacing w:val="0"/>
          <w:sz w:val="24"/>
          <w:szCs w:val="24"/>
          <w:shd w:val="clear" w:fill="FFFFFF"/>
        </w:rPr>
      </w:pPr>
    </w:p>
    <w:p w14:paraId="26F2159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b/>
          <w:bCs/>
          <w:i w:val="0"/>
          <w:iCs w:val="0"/>
          <w:caps w:val="0"/>
          <w:color w:val="0F1115"/>
          <w:spacing w:val="0"/>
          <w:sz w:val="24"/>
          <w:szCs w:val="24"/>
          <w:shd w:val="clear" w:fill="FFFFFF"/>
        </w:rPr>
      </w:pPr>
    </w:p>
    <w:p w14:paraId="11C087D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b/>
          <w:bCs/>
          <w:i w:val="0"/>
          <w:iCs w:val="0"/>
          <w:caps w:val="0"/>
          <w:color w:val="0F1115"/>
          <w:spacing w:val="0"/>
          <w:sz w:val="24"/>
          <w:szCs w:val="24"/>
          <w:shd w:val="clear" w:fill="FFFFFF"/>
        </w:rPr>
      </w:pPr>
    </w:p>
    <w:p w14:paraId="4954B276">
      <w:pPr>
        <w:pStyle w:val="2"/>
        <w:keepNext w:val="0"/>
        <w:keepLines w:val="0"/>
        <w:widowControl/>
        <w:suppressLineNumbers w:val="0"/>
        <w:shd w:val="clear" w:fill="FFFFFF"/>
        <w:spacing w:before="240" w:beforeAutospacing="0" w:after="240" w:afterAutospacing="0"/>
        <w:ind w:left="0" w:right="0" w:firstLine="0"/>
        <w:jc w:val="center"/>
        <w:rPr>
          <w:rFonts w:hint="default" w:ascii="Segoe UI" w:hAnsi="Segoe UI" w:eastAsia="Segoe UI" w:cs="Segoe UI"/>
          <w:i w:val="0"/>
          <w:iCs w:val="0"/>
          <w:caps w:val="0"/>
          <w:spacing w:val="0"/>
          <w:sz w:val="44"/>
          <w:szCs w:val="44"/>
        </w:rPr>
      </w:pPr>
      <w:bookmarkStart w:id="0" w:name="_GoBack"/>
      <w:r>
        <w:rPr>
          <w:rFonts w:hint="default" w:ascii="Segoe UI" w:hAnsi="Segoe UI" w:eastAsia="Segoe UI" w:cs="Segoe UI"/>
          <w:b/>
          <w:bCs/>
          <w:i w:val="0"/>
          <w:iCs w:val="0"/>
          <w:caps w:val="0"/>
          <w:color w:val="0F1115"/>
          <w:spacing w:val="0"/>
          <w:sz w:val="44"/>
          <w:szCs w:val="44"/>
          <w:shd w:val="clear" w:fill="FFFFFF"/>
        </w:rPr>
        <w:t>Greenhouse Gas Verification Management Procedure</w:t>
      </w:r>
    </w:p>
    <w:bookmarkEnd w:id="0"/>
    <w:p w14:paraId="2CDDE184">
      <w:pPr>
        <w:rPr>
          <w:rFonts w:hint="default" w:ascii="Segoe UI" w:hAnsi="Segoe UI" w:eastAsia="Segoe UI" w:cs="Segoe UI"/>
          <w:b/>
          <w:bCs/>
          <w:i w:val="0"/>
          <w:iCs w:val="0"/>
          <w:caps w:val="0"/>
          <w:color w:val="0F1115"/>
          <w:spacing w:val="0"/>
          <w:sz w:val="24"/>
          <w:szCs w:val="24"/>
          <w:shd w:val="clear" w:fill="FFFFFF"/>
        </w:rPr>
      </w:pPr>
      <w:r>
        <w:rPr>
          <w:rFonts w:hint="default" w:ascii="Segoe UI" w:hAnsi="Segoe UI" w:eastAsia="Segoe UI" w:cs="Segoe UI"/>
          <w:b/>
          <w:bCs/>
          <w:i w:val="0"/>
          <w:iCs w:val="0"/>
          <w:caps w:val="0"/>
          <w:color w:val="0F1115"/>
          <w:spacing w:val="0"/>
          <w:sz w:val="24"/>
          <w:szCs w:val="24"/>
          <w:shd w:val="clear" w:fill="FFFFFF"/>
        </w:rPr>
        <w:br w:type="page"/>
      </w:r>
    </w:p>
    <w:p w14:paraId="642E69FE">
      <w:pPr>
        <w:pStyle w:val="2"/>
        <w:keepNext w:val="0"/>
        <w:keepLines w:val="0"/>
        <w:widowControl/>
        <w:suppressLineNumbers w:val="0"/>
        <w:shd w:val="clear" w:fill="FFFFFF"/>
        <w:spacing w:before="240" w:beforeAutospacing="0" w:after="240" w:afterAutospacing="0"/>
        <w:ind w:left="0" w:right="0" w:firstLine="0"/>
        <w:jc w:val="center"/>
        <w:rPr>
          <w:rFonts w:hint="default" w:ascii="Segoe UI" w:hAnsi="Segoe UI" w:eastAsia="Segoe UI" w:cs="Segoe UI"/>
          <w:b/>
          <w:bCs/>
          <w:i w:val="0"/>
          <w:iCs w:val="0"/>
          <w:caps w:val="0"/>
          <w:color w:val="0F1115"/>
          <w:spacing w:val="0"/>
          <w:sz w:val="44"/>
          <w:szCs w:val="44"/>
          <w:shd w:val="clear" w:fill="FFFFFF"/>
        </w:rPr>
      </w:pPr>
      <w:r>
        <w:rPr>
          <w:rFonts w:hint="default" w:ascii="Segoe UI" w:hAnsi="Segoe UI" w:eastAsia="Segoe UI" w:cs="Segoe UI"/>
          <w:b/>
          <w:bCs/>
          <w:i w:val="0"/>
          <w:iCs w:val="0"/>
          <w:caps w:val="0"/>
          <w:color w:val="0F1115"/>
          <w:spacing w:val="0"/>
          <w:sz w:val="44"/>
          <w:szCs w:val="44"/>
          <w:shd w:val="clear" w:fill="FFFFFF"/>
        </w:rPr>
        <w:t>Revision History</w:t>
      </w:r>
    </w:p>
    <w:p w14:paraId="3AFB46D4">
      <w:pPr>
        <w:pStyle w:val="2"/>
        <w:keepNext w:val="0"/>
        <w:keepLines w:val="0"/>
        <w:widowControl/>
        <w:suppressLineNumbers w:val="0"/>
        <w:shd w:val="clear" w:fill="FFFFFF"/>
        <w:spacing w:before="240" w:beforeAutospacing="0" w:after="240" w:afterAutospacing="0"/>
        <w:ind w:left="0" w:right="0" w:firstLine="0"/>
        <w:jc w:val="center"/>
        <w:rPr>
          <w:rFonts w:hint="default" w:ascii="Segoe UI" w:hAnsi="Segoe UI" w:eastAsia="Segoe UI" w:cs="Segoe UI"/>
          <w:b/>
          <w:bCs/>
          <w:i w:val="0"/>
          <w:iCs w:val="0"/>
          <w:caps w:val="0"/>
          <w:color w:val="0F1115"/>
          <w:spacing w:val="0"/>
          <w:sz w:val="44"/>
          <w:szCs w:val="44"/>
          <w:shd w:val="clear" w:fill="FFFFFF"/>
        </w:rPr>
      </w:pPr>
    </w:p>
    <w:tbl>
      <w:tblPr>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623"/>
        <w:gridCol w:w="6585"/>
        <w:gridCol w:w="1353"/>
      </w:tblGrid>
      <w:tr w14:paraId="708B5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jc w:val="center"/>
        </w:trPr>
        <w:tc>
          <w:tcPr>
            <w:tcW w:w="340" w:type="pct"/>
            <w:tcBorders>
              <w:top w:val="single" w:color="auto" w:sz="12" w:space="0"/>
              <w:left w:val="single" w:color="auto" w:sz="12" w:space="0"/>
              <w:bottom w:val="nil"/>
              <w:right w:val="nil"/>
            </w:tcBorders>
            <w:shd w:val="clear"/>
            <w:noWrap w:val="0"/>
            <w:tcMar>
              <w:top w:w="150" w:type="dxa"/>
              <w:left w:w="-1" w:type="dxa"/>
              <w:bottom w:w="150" w:type="dxa"/>
              <w:right w:w="240" w:type="dxa"/>
            </w:tcMar>
            <w:vAlign w:val="center"/>
          </w:tcPr>
          <w:p w14:paraId="5956B784">
            <w:pPr>
              <w:keepNext w:val="0"/>
              <w:keepLines w:val="0"/>
              <w:widowControl/>
              <w:suppressLineNumbers w:val="0"/>
              <w:snapToGrid w:val="0"/>
              <w:spacing w:line="240" w:lineRule="auto"/>
              <w:ind w:left="0" w:leftChars="0" w:right="0" w:rightChars="0" w:firstLine="0" w:firstLineChars="0"/>
              <w:jc w:val="center"/>
              <w:rPr>
                <w:rFonts w:ascii="Segoe UI" w:hAnsi="Segoe UI" w:eastAsia="Segoe UI" w:cs="Segoe UI"/>
                <w:b/>
                <w:sz w:val="22"/>
                <w:szCs w:val="22"/>
              </w:rPr>
            </w:pPr>
            <w:r>
              <w:rPr>
                <w:rFonts w:hint="default" w:ascii="Segoe UI" w:hAnsi="Segoe UI" w:eastAsia="Segoe UI" w:cs="Segoe UI"/>
                <w:b/>
                <w:kern w:val="0"/>
                <w:sz w:val="22"/>
                <w:szCs w:val="22"/>
                <w:bdr w:val="none" w:color="auto" w:sz="0" w:space="0"/>
                <w:lang w:val="en-US" w:eastAsia="zh-CN" w:bidi="ar"/>
              </w:rPr>
              <w:t>No.</w:t>
            </w:r>
          </w:p>
        </w:tc>
        <w:tc>
          <w:tcPr>
            <w:tcW w:w="3861" w:type="pct"/>
            <w:tcBorders>
              <w:top w:val="single" w:color="auto" w:sz="12" w:space="0"/>
              <w:left w:val="single" w:color="auto" w:sz="4" w:space="0"/>
              <w:bottom w:val="nil"/>
              <w:right w:val="nil"/>
            </w:tcBorders>
            <w:shd w:val="clear"/>
            <w:noWrap w:val="0"/>
            <w:tcMar>
              <w:top w:w="150" w:type="dxa"/>
              <w:left w:w="240" w:type="dxa"/>
              <w:bottom w:w="150" w:type="dxa"/>
              <w:right w:w="240" w:type="dxa"/>
            </w:tcMar>
            <w:vAlign w:val="center"/>
          </w:tcPr>
          <w:p w14:paraId="6C8FF7F1">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b/>
                <w:sz w:val="22"/>
                <w:szCs w:val="22"/>
              </w:rPr>
            </w:pPr>
            <w:r>
              <w:rPr>
                <w:rFonts w:hint="default" w:ascii="Segoe UI" w:hAnsi="Segoe UI" w:eastAsia="Segoe UI" w:cs="Segoe UI"/>
                <w:b/>
                <w:kern w:val="0"/>
                <w:sz w:val="22"/>
                <w:szCs w:val="22"/>
                <w:bdr w:val="none" w:color="auto" w:sz="0" w:space="0"/>
                <w:lang w:val="en-US" w:eastAsia="zh-CN" w:bidi="ar"/>
              </w:rPr>
              <w:t>Revision Content</w:t>
            </w:r>
          </w:p>
        </w:tc>
        <w:tc>
          <w:tcPr>
            <w:tcW w:w="798" w:type="pct"/>
            <w:tcBorders>
              <w:top w:val="single" w:color="auto" w:sz="12" w:space="0"/>
              <w:left w:val="single" w:color="auto" w:sz="4" w:space="0"/>
              <w:bottom w:val="nil"/>
              <w:right w:val="single" w:color="auto" w:sz="12" w:space="0"/>
            </w:tcBorders>
            <w:shd w:val="clear"/>
            <w:noWrap w:val="0"/>
            <w:tcMar>
              <w:top w:w="150" w:type="dxa"/>
              <w:left w:w="240" w:type="dxa"/>
              <w:bottom w:w="150" w:type="dxa"/>
              <w:right w:w="240" w:type="dxa"/>
            </w:tcMar>
            <w:vAlign w:val="center"/>
          </w:tcPr>
          <w:p w14:paraId="0A057E09">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b/>
                <w:sz w:val="22"/>
                <w:szCs w:val="22"/>
              </w:rPr>
            </w:pPr>
            <w:r>
              <w:rPr>
                <w:rFonts w:hint="default" w:ascii="Segoe UI" w:hAnsi="Segoe UI" w:eastAsia="Segoe UI" w:cs="Segoe UI"/>
                <w:b/>
                <w:kern w:val="0"/>
                <w:sz w:val="22"/>
                <w:szCs w:val="22"/>
                <w:bdr w:val="none" w:color="auto" w:sz="0" w:space="0"/>
                <w:lang w:val="en-US" w:eastAsia="zh-CN" w:bidi="ar"/>
              </w:rPr>
              <w:t>Revision Date</w:t>
            </w:r>
          </w:p>
        </w:tc>
      </w:tr>
      <w:tr w14:paraId="61780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340"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4E875785">
            <w:pPr>
              <w:snapToGrid w:val="0"/>
              <w:ind w:left="0" w:leftChars="0" w:right="0" w:rightChars="0" w:firstLine="0" w:firstLineChars="0"/>
              <w:jc w:val="center"/>
              <w:rPr>
                <w:rFonts w:hint="default" w:ascii="Segoe UI" w:hAnsi="Segoe UI" w:eastAsia="Segoe UI" w:cs="Segoe UI"/>
                <w:sz w:val="22"/>
                <w:szCs w:val="22"/>
              </w:rPr>
            </w:pPr>
          </w:p>
        </w:tc>
        <w:tc>
          <w:tcPr>
            <w:tcW w:w="3861"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41B4AC2A">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In accordance with the latest versions issued by CNAS: CNAS-SV02:2024 "Accreditation Scheme for Greenhouse Gas (GHG) Validation and Verification Bodies", CNAS-CV05 "Competence Requirements for GHG Validation and Verification Teams", CNAS-CV04 "General Principles and Requirements for Environmental Information Validation and Verification Bodies" – application requirements of ISO 14065:2020, etc., the "Validation and Verification Process Management Procedure CRC-QP-VV02" has been revised to "Greenhouse Gas Verification Management Procedure CRC-QP-VV02". The previous procedure is superseded. Definitions of terms have been added.</w:t>
            </w:r>
          </w:p>
        </w:tc>
        <w:tc>
          <w:tcPr>
            <w:tcW w:w="798"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093B64B3">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2026.2.11</w:t>
            </w:r>
          </w:p>
        </w:tc>
      </w:tr>
      <w:tr w14:paraId="70EF0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340"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6A3D78BA">
            <w:pPr>
              <w:snapToGrid w:val="0"/>
              <w:ind w:left="0" w:leftChars="0" w:right="0" w:rightChars="0" w:firstLine="0" w:firstLineChars="0"/>
              <w:jc w:val="center"/>
              <w:rPr>
                <w:rFonts w:hint="default" w:ascii="Segoe UI" w:hAnsi="Segoe UI" w:eastAsia="Segoe UI" w:cs="Segoe UI"/>
                <w:sz w:val="22"/>
                <w:szCs w:val="22"/>
              </w:rPr>
            </w:pPr>
          </w:p>
        </w:tc>
        <w:tc>
          <w:tcPr>
            <w:tcW w:w="3861"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0A17492D">
            <w:pPr>
              <w:snapToGrid w:val="0"/>
              <w:ind w:left="0" w:leftChars="0" w:right="0" w:rightChars="0" w:firstLine="0" w:firstLineChars="0"/>
              <w:jc w:val="center"/>
              <w:rPr>
                <w:rFonts w:hint="default" w:ascii="Segoe UI" w:hAnsi="Segoe UI" w:eastAsia="Segoe UI" w:cs="Segoe UI"/>
                <w:sz w:val="22"/>
                <w:szCs w:val="22"/>
              </w:rPr>
            </w:pPr>
          </w:p>
        </w:tc>
        <w:tc>
          <w:tcPr>
            <w:tcW w:w="798"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2420369A">
            <w:pPr>
              <w:snapToGrid w:val="0"/>
              <w:ind w:left="0" w:leftChars="0" w:right="0" w:rightChars="0" w:firstLine="0" w:firstLineChars="0"/>
              <w:jc w:val="center"/>
              <w:rPr>
                <w:rFonts w:hint="default" w:ascii="Segoe UI" w:hAnsi="Segoe UI" w:eastAsia="Segoe UI" w:cs="Segoe UI"/>
                <w:sz w:val="22"/>
                <w:szCs w:val="22"/>
              </w:rPr>
            </w:pPr>
          </w:p>
        </w:tc>
      </w:tr>
      <w:tr w14:paraId="0AD70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340"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416090DA">
            <w:pPr>
              <w:snapToGrid w:val="0"/>
              <w:ind w:left="0" w:leftChars="0" w:right="0" w:rightChars="0" w:firstLine="0" w:firstLineChars="0"/>
              <w:jc w:val="center"/>
              <w:rPr>
                <w:rFonts w:hint="default" w:ascii="Segoe UI" w:hAnsi="Segoe UI" w:eastAsia="Segoe UI" w:cs="Segoe UI"/>
                <w:sz w:val="22"/>
                <w:szCs w:val="22"/>
              </w:rPr>
            </w:pPr>
          </w:p>
        </w:tc>
        <w:tc>
          <w:tcPr>
            <w:tcW w:w="3861"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2ED005CD">
            <w:pPr>
              <w:snapToGrid w:val="0"/>
              <w:ind w:left="0" w:leftChars="0" w:right="0" w:rightChars="0" w:firstLine="0" w:firstLineChars="0"/>
              <w:jc w:val="center"/>
              <w:rPr>
                <w:rFonts w:hint="default" w:ascii="Segoe UI" w:hAnsi="Segoe UI" w:eastAsia="Segoe UI" w:cs="Segoe UI"/>
                <w:sz w:val="22"/>
                <w:szCs w:val="22"/>
              </w:rPr>
            </w:pPr>
          </w:p>
        </w:tc>
        <w:tc>
          <w:tcPr>
            <w:tcW w:w="798"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5A21089C">
            <w:pPr>
              <w:snapToGrid w:val="0"/>
              <w:ind w:left="0" w:leftChars="0" w:right="0" w:rightChars="0" w:firstLine="0" w:firstLineChars="0"/>
              <w:jc w:val="center"/>
              <w:rPr>
                <w:rFonts w:hint="default" w:ascii="Segoe UI" w:hAnsi="Segoe UI" w:eastAsia="Segoe UI" w:cs="Segoe UI"/>
                <w:sz w:val="22"/>
                <w:szCs w:val="22"/>
              </w:rPr>
            </w:pPr>
          </w:p>
        </w:tc>
      </w:tr>
      <w:tr w14:paraId="32271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340"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64E3C921">
            <w:pPr>
              <w:snapToGrid w:val="0"/>
              <w:ind w:left="0" w:leftChars="0" w:right="0" w:rightChars="0" w:firstLine="0" w:firstLineChars="0"/>
              <w:jc w:val="center"/>
              <w:rPr>
                <w:rFonts w:hint="default" w:ascii="Segoe UI" w:hAnsi="Segoe UI" w:eastAsia="Segoe UI" w:cs="Segoe UI"/>
                <w:sz w:val="22"/>
                <w:szCs w:val="22"/>
              </w:rPr>
            </w:pPr>
          </w:p>
        </w:tc>
        <w:tc>
          <w:tcPr>
            <w:tcW w:w="3861"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4CE0D5AD">
            <w:pPr>
              <w:snapToGrid w:val="0"/>
              <w:ind w:left="0" w:leftChars="0" w:right="0" w:rightChars="0" w:firstLine="0" w:firstLineChars="0"/>
              <w:jc w:val="center"/>
              <w:rPr>
                <w:rFonts w:hint="default" w:ascii="Segoe UI" w:hAnsi="Segoe UI" w:eastAsia="Segoe UI" w:cs="Segoe UI"/>
                <w:sz w:val="22"/>
                <w:szCs w:val="22"/>
              </w:rPr>
            </w:pPr>
          </w:p>
        </w:tc>
        <w:tc>
          <w:tcPr>
            <w:tcW w:w="798"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787F9130">
            <w:pPr>
              <w:snapToGrid w:val="0"/>
              <w:ind w:left="0" w:leftChars="0" w:right="0" w:rightChars="0" w:firstLine="0" w:firstLineChars="0"/>
              <w:jc w:val="center"/>
              <w:rPr>
                <w:rFonts w:hint="default" w:ascii="Segoe UI" w:hAnsi="Segoe UI" w:eastAsia="Segoe UI" w:cs="Segoe UI"/>
                <w:sz w:val="22"/>
                <w:szCs w:val="22"/>
              </w:rPr>
            </w:pPr>
          </w:p>
        </w:tc>
      </w:tr>
      <w:tr w14:paraId="63566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340"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1CA5DFA8">
            <w:pPr>
              <w:snapToGrid w:val="0"/>
              <w:ind w:left="0" w:leftChars="0" w:right="0" w:rightChars="0" w:firstLine="0" w:firstLineChars="0"/>
              <w:jc w:val="center"/>
              <w:rPr>
                <w:rFonts w:hint="default" w:ascii="Segoe UI" w:hAnsi="Segoe UI" w:eastAsia="Segoe UI" w:cs="Segoe UI"/>
                <w:sz w:val="22"/>
                <w:szCs w:val="22"/>
              </w:rPr>
            </w:pPr>
          </w:p>
        </w:tc>
        <w:tc>
          <w:tcPr>
            <w:tcW w:w="3861"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0DD52A8E">
            <w:pPr>
              <w:snapToGrid w:val="0"/>
              <w:ind w:left="0" w:leftChars="0" w:right="0" w:rightChars="0" w:firstLine="0" w:firstLineChars="0"/>
              <w:jc w:val="center"/>
              <w:rPr>
                <w:rFonts w:hint="default" w:ascii="Segoe UI" w:hAnsi="Segoe UI" w:eastAsia="Segoe UI" w:cs="Segoe UI"/>
                <w:sz w:val="22"/>
                <w:szCs w:val="22"/>
              </w:rPr>
            </w:pPr>
          </w:p>
        </w:tc>
        <w:tc>
          <w:tcPr>
            <w:tcW w:w="798"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20F3D75F">
            <w:pPr>
              <w:snapToGrid w:val="0"/>
              <w:ind w:left="0" w:leftChars="0" w:right="0" w:rightChars="0" w:firstLine="0" w:firstLineChars="0"/>
              <w:jc w:val="center"/>
              <w:rPr>
                <w:rFonts w:hint="default" w:ascii="Segoe UI" w:hAnsi="Segoe UI" w:eastAsia="Segoe UI" w:cs="Segoe UI"/>
                <w:sz w:val="22"/>
                <w:szCs w:val="22"/>
              </w:rPr>
            </w:pPr>
          </w:p>
        </w:tc>
      </w:tr>
      <w:tr w14:paraId="10AFA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340" w:type="pct"/>
            <w:tcBorders>
              <w:top w:val="single" w:color="auto" w:sz="4" w:space="0"/>
              <w:left w:val="single" w:color="auto" w:sz="12" w:space="0"/>
              <w:bottom w:val="single" w:color="auto" w:sz="12" w:space="0"/>
              <w:right w:val="nil"/>
            </w:tcBorders>
            <w:shd w:val="clear"/>
            <w:noWrap w:val="0"/>
            <w:tcMar>
              <w:top w:w="150" w:type="dxa"/>
              <w:left w:w="-1" w:type="dxa"/>
              <w:bottom w:w="150" w:type="dxa"/>
              <w:right w:w="240" w:type="dxa"/>
            </w:tcMar>
            <w:vAlign w:val="center"/>
          </w:tcPr>
          <w:p w14:paraId="774988CB">
            <w:pPr>
              <w:snapToGrid w:val="0"/>
              <w:ind w:left="0" w:leftChars="0" w:right="0" w:rightChars="0" w:firstLine="0" w:firstLineChars="0"/>
              <w:jc w:val="center"/>
              <w:rPr>
                <w:rFonts w:hint="default" w:ascii="Segoe UI" w:hAnsi="Segoe UI" w:eastAsia="Segoe UI" w:cs="Segoe UI"/>
                <w:sz w:val="22"/>
                <w:szCs w:val="22"/>
              </w:rPr>
            </w:pPr>
          </w:p>
        </w:tc>
        <w:tc>
          <w:tcPr>
            <w:tcW w:w="3861" w:type="pct"/>
            <w:tcBorders>
              <w:top w:val="single" w:color="auto" w:sz="4" w:space="0"/>
              <w:left w:val="single" w:color="auto" w:sz="4" w:space="0"/>
              <w:bottom w:val="single" w:color="auto" w:sz="12" w:space="0"/>
              <w:right w:val="nil"/>
            </w:tcBorders>
            <w:shd w:val="clear"/>
            <w:noWrap w:val="0"/>
            <w:tcMar>
              <w:top w:w="150" w:type="dxa"/>
              <w:left w:w="240" w:type="dxa"/>
              <w:bottom w:w="150" w:type="dxa"/>
              <w:right w:w="240" w:type="dxa"/>
            </w:tcMar>
            <w:vAlign w:val="center"/>
          </w:tcPr>
          <w:p w14:paraId="41BB280B">
            <w:pPr>
              <w:snapToGrid w:val="0"/>
              <w:ind w:left="0" w:leftChars="0" w:right="0" w:rightChars="0" w:firstLine="0" w:firstLineChars="0"/>
              <w:jc w:val="center"/>
              <w:rPr>
                <w:rFonts w:hint="default" w:ascii="Segoe UI" w:hAnsi="Segoe UI" w:eastAsia="Segoe UI" w:cs="Segoe UI"/>
                <w:sz w:val="22"/>
                <w:szCs w:val="22"/>
              </w:rPr>
            </w:pPr>
          </w:p>
        </w:tc>
        <w:tc>
          <w:tcPr>
            <w:tcW w:w="798" w:type="pct"/>
            <w:tcBorders>
              <w:top w:val="single" w:color="auto" w:sz="4" w:space="0"/>
              <w:left w:val="single" w:color="auto" w:sz="4" w:space="0"/>
              <w:bottom w:val="single" w:color="auto" w:sz="12" w:space="0"/>
              <w:right w:val="single" w:color="auto" w:sz="12" w:space="0"/>
            </w:tcBorders>
            <w:shd w:val="clear"/>
            <w:noWrap w:val="0"/>
            <w:tcMar>
              <w:top w:w="150" w:type="dxa"/>
              <w:left w:w="240" w:type="dxa"/>
              <w:bottom w:w="150" w:type="dxa"/>
              <w:right w:w="-1" w:type="dxa"/>
            </w:tcMar>
            <w:vAlign w:val="center"/>
          </w:tcPr>
          <w:p w14:paraId="2A8FE97D">
            <w:pPr>
              <w:snapToGrid w:val="0"/>
              <w:ind w:left="0" w:leftChars="0" w:right="0" w:rightChars="0" w:firstLine="0" w:firstLineChars="0"/>
              <w:jc w:val="center"/>
              <w:rPr>
                <w:rFonts w:hint="default" w:ascii="Segoe UI" w:hAnsi="Segoe UI" w:eastAsia="Segoe UI" w:cs="Segoe UI"/>
                <w:sz w:val="22"/>
                <w:szCs w:val="22"/>
              </w:rPr>
            </w:pPr>
          </w:p>
        </w:tc>
      </w:tr>
    </w:tbl>
    <w:p w14:paraId="1D55397A">
      <w:pPr>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spacing w:val="0"/>
          <w:sz w:val="24"/>
          <w:szCs w:val="24"/>
        </w:rPr>
        <w:br w:type="page"/>
      </w:r>
    </w:p>
    <w:p w14:paraId="511A80D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 General Provisions</w:t>
      </w:r>
    </w:p>
    <w:p w14:paraId="37D0D8C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color w:val="0F1115"/>
          <w:spacing w:val="0"/>
          <w:sz w:val="24"/>
          <w:szCs w:val="24"/>
          <w:shd w:val="clear" w:fill="FFFFFF"/>
        </w:rPr>
        <w:t>To ensure the implementation of Chapter 9 of the Validation and Verification Quality Manual (hereinafter referred to as the "Manual") of Zhongsheng Deshang Inspection &amp; Certification (Chengdu) Co., LTD. (hereinafter referred to as "the Organization", "the Company", or "CRC"), and to ensure that CRC carries out validation and verification activities in a standardized, consistent and uniform manner, this procedure document is hereby formulated.</w:t>
      </w:r>
    </w:p>
    <w:p w14:paraId="5365459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2. Scope of Application</w:t>
      </w:r>
    </w:p>
    <w:p w14:paraId="648513D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color w:val="0F1115"/>
          <w:spacing w:val="0"/>
          <w:sz w:val="24"/>
          <w:szCs w:val="24"/>
          <w:shd w:val="clear" w:fill="FFFFFF"/>
        </w:rPr>
        <w:t>This procedure applies to the validation and verification activities carried out by CRC.</w:t>
      </w:r>
    </w:p>
    <w:p w14:paraId="22D47F1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3. Definitions</w:t>
      </w:r>
    </w:p>
    <w:p w14:paraId="1CEF8C3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3.1 Greenhouse gas (GHG)</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Gaseous constituents of the atmosphere, both natural and anthropogenic, that absorb and emit radiation at specific wavelengths within the infrared spectrum emitted by the Earth's surface, the atmosphere, and clouds.</w:t>
      </w:r>
    </w:p>
    <w:p w14:paraId="7F736E4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Note: GHGs include carbon dioxide (CO₂), methane (CH₄), nitrous oxide (N₂O), hydrofluorocarbons (HFCs), perfluorocarbons (PFCs), and sulphur hexafluoride (SF₆).</w:t>
      </w:r>
    </w:p>
    <w:p w14:paraId="25C2C2F8">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3.2 GHG source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physical unit or process that releases GHG into the atmosphere.</w:t>
      </w:r>
    </w:p>
    <w:p w14:paraId="0E5457F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3.3 GHG emission or removal factor</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factor relating activity data to GHG emissions or removals.</w:t>
      </w:r>
    </w:p>
    <w:p w14:paraId="5121CDA8">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Note: GHG emission and removal factors may include oxidation factors.</w:t>
      </w:r>
    </w:p>
    <w:p w14:paraId="39DAFDF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3.4 GHG activity data</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quantitative measure of an activity that results in GHG emissions or removals.</w:t>
      </w:r>
    </w:p>
    <w:p w14:paraId="1FEA9E9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Note: Examples of GHG activity data include energy, fuel or electricity consumed, materials produced, services provided, or area of land affected.</w:t>
      </w:r>
    </w:p>
    <w:p w14:paraId="2780B75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3.5 GHG statement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implementation and objective declaration of the subject matter provided for verification.</w:t>
      </w:r>
    </w:p>
    <w:p w14:paraId="7690F4F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Note 1: A GHG statement may represent a point in time or cover a period of time.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Note 2: A GHG statement provided by the responsible party should be clearly identifiable and capable of consistent evaluation or measurement by a verifier against suitable criteria.</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Note 3: A GHG statement may be included in a GHG report.</w:t>
      </w:r>
    </w:p>
    <w:p w14:paraId="1851EAB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3.6 GHG information system</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Policies, processes and procedures used to establish, manage and maintain GHG information.</w:t>
      </w:r>
    </w:p>
    <w:p w14:paraId="5A133E58">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3.7 Data trail</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complete record that allows GHG information to be traced back to its GHG source.</w:t>
      </w:r>
    </w:p>
    <w:p w14:paraId="0B148E7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3.8 Monitoring</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continuous or periodic collection of GHG emissions, GHG removals, or other GHG-related data.</w:t>
      </w:r>
    </w:p>
    <w:p w14:paraId="1D4040A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3.9 GHG inventory</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An organization's GHG sources, GHG sinks, and GHG emissions and removals.</w:t>
      </w:r>
    </w:p>
    <w:p w14:paraId="5913337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3.10 GHG programme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voluntary or mandatory international, national, or sub</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national system or scheme, outside the organization or GHG project, used to register, calculate, or manage GHG emissions, removals, emission reductions, or removal enhancements.</w:t>
      </w:r>
    </w:p>
    <w:p w14:paraId="473A0D6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3.11 GHG report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specific document intended to provide GHG information about an organization or project to target users.</w:t>
      </w:r>
    </w:p>
    <w:p w14:paraId="6306ABD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Note: A GHG report may include a GHG statement.</w:t>
      </w:r>
    </w:p>
    <w:p w14:paraId="61FA6BB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3.12 Global Warming Potential (GWP)</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 xml:space="preserve">A coefficient describing the </w:t>
      </w:r>
      <w:r>
        <w:rPr>
          <w:rFonts w:hint="eastAsia" w:ascii="Segoe UI" w:hAnsi="Segoe UI" w:eastAsia="宋体" w:cs="Segoe UI"/>
          <w:i w:val="0"/>
          <w:iCs w:val="0"/>
          <w:caps w:val="0"/>
          <w:color w:val="0F1115"/>
          <w:spacing w:val="0"/>
          <w:sz w:val="24"/>
          <w:szCs w:val="24"/>
          <w:shd w:val="clear" w:fill="FFFFFF"/>
          <w:lang w:eastAsia="zh-CN"/>
        </w:rPr>
        <w:t>radioactive</w:t>
      </w:r>
      <w:r>
        <w:rPr>
          <w:rFonts w:hint="default" w:ascii="Segoe UI" w:hAnsi="Segoe UI" w:eastAsia="Segoe UI" w:cs="Segoe UI"/>
          <w:i w:val="0"/>
          <w:iCs w:val="0"/>
          <w:caps w:val="0"/>
          <w:color w:val="0F1115"/>
          <w:spacing w:val="0"/>
          <w:sz w:val="24"/>
          <w:szCs w:val="24"/>
          <w:shd w:val="clear" w:fill="FFFFFF"/>
        </w:rPr>
        <w:t xml:space="preserve"> forcing impact of one unit of a given GHG over a specified time period relative to the same mass of carbon dioxide.</w:t>
      </w:r>
    </w:p>
    <w:p w14:paraId="570DF15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3.13 Carbon dioxide equivalent (CO₂e)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 xml:space="preserve">The amount of carbon dioxide that would have the same </w:t>
      </w:r>
      <w:r>
        <w:rPr>
          <w:rFonts w:hint="eastAsia" w:ascii="Segoe UI" w:hAnsi="Segoe UI" w:eastAsia="宋体" w:cs="Segoe UI"/>
          <w:i w:val="0"/>
          <w:iCs w:val="0"/>
          <w:caps w:val="0"/>
          <w:color w:val="0F1115"/>
          <w:spacing w:val="0"/>
          <w:sz w:val="24"/>
          <w:szCs w:val="24"/>
          <w:shd w:val="clear" w:fill="FFFFFF"/>
          <w:lang w:eastAsia="zh-CN"/>
        </w:rPr>
        <w:t>radioactive</w:t>
      </w:r>
      <w:r>
        <w:rPr>
          <w:rFonts w:hint="default" w:ascii="Segoe UI" w:hAnsi="Segoe UI" w:eastAsia="Segoe UI" w:cs="Segoe UI"/>
          <w:i w:val="0"/>
          <w:iCs w:val="0"/>
          <w:caps w:val="0"/>
          <w:color w:val="0F1115"/>
          <w:spacing w:val="0"/>
          <w:sz w:val="24"/>
          <w:szCs w:val="24"/>
          <w:shd w:val="clear" w:fill="FFFFFF"/>
        </w:rPr>
        <w:t xml:space="preserve"> forcing as a given mass of a GHG.</w:t>
      </w:r>
    </w:p>
    <w:p w14:paraId="0E177B1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Note: The CO₂e of a GHG is equal to the mass of the gas multiplied by its GWP.</w:t>
      </w:r>
    </w:p>
    <w:p w14:paraId="28999B9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3.14 Base year</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specific historical period used as a reference for comparing GHG emissions or removals, or other GHG-related information, over different periods.</w:t>
      </w:r>
    </w:p>
    <w:p w14:paraId="1999EB2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Note: The quantification of base year emissions or removals may be based on a single period (e.g., one year) or on an average of several periods (e.g., several years).</w:t>
      </w:r>
    </w:p>
    <w:p w14:paraId="3E70412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3.15 Uncertainty</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parameter associated with the result of a quantification that characterizes the dispersion of the values that could reasonably be attributed to the quantified quantity.</w:t>
      </w:r>
    </w:p>
    <w:p w14:paraId="614154A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Note 1: Uncertainty information usually includes a quantitative estimate of the possible dispersion of values and a qualitative description of the possible causes of dispersion.</w:t>
      </w:r>
    </w:p>
    <w:p w14:paraId="0782FE0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3.16 Materiality</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concept that an individual misstatement or an aggregation of misstatements could influence the decisions of intended users.</w:t>
      </w:r>
    </w:p>
    <w:p w14:paraId="51F2AAE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3.17 Misstatement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An error, omission, or misrepresentation in a GHG statement.</w:t>
      </w:r>
    </w:p>
    <w:p w14:paraId="571D0B6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3.18 Material misstatement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An individual or aggregated actual misstatement in a GHG statement that could influence the decisions of intended users.</w:t>
      </w:r>
    </w:p>
    <w:p w14:paraId="40103D9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3.19 Level of assurance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degree of confidence in the GHG statement.</w:t>
      </w:r>
    </w:p>
    <w:p w14:paraId="5F97DEA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Note 1: Assurance is provided on historical information.</w:t>
      </w:r>
    </w:p>
    <w:p w14:paraId="7FC9606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3.20 Reasonable assurance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level of assurance where the nature and extent of verification activities are designed to provide a high, but not absolute, level of confidence in the historical data and information.</w:t>
      </w:r>
    </w:p>
    <w:p w14:paraId="210CB40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3.21 Limited assurance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level of assurance where the nature and extent of verification activities are designed to provide a lower level of confidence in the historical data and information.</w:t>
      </w:r>
    </w:p>
    <w:p w14:paraId="6D030CF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4. Responsibilities</w:t>
      </w:r>
    </w:p>
    <w:p w14:paraId="1DE8043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The Audit Department is responsible for the overall management of GHG verification work for the responsible party, including assigning verification teams and issuing verification tasks, covering both document review and 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site verification.</w:t>
      </w:r>
    </w:p>
    <w:p w14:paraId="2FFD52D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color w:val="0F1115"/>
          <w:spacing w:val="0"/>
          <w:sz w:val="24"/>
          <w:szCs w:val="24"/>
          <w:shd w:val="clear" w:fill="FFFFFF"/>
        </w:rPr>
        <w:t>The verification team is responsible for carrying out the GHG verification work, and the team leader is responsible for planning and organizing the verification activities.</w:t>
      </w:r>
    </w:p>
    <w:p w14:paraId="6F9BF19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5. Pre</w:t>
      </w:r>
      <w:r>
        <w:rPr>
          <w:rFonts w:hint="default" w:ascii="Segoe UI" w:hAnsi="Segoe UI" w:eastAsia="Segoe UI" w:cs="Segoe UI"/>
          <w:b/>
          <w:bCs/>
          <w:i w:val="0"/>
          <w:iCs w:val="0"/>
          <w:caps w:val="0"/>
          <w:color w:val="0F1115"/>
          <w:spacing w:val="0"/>
          <w:sz w:val="24"/>
          <w:szCs w:val="24"/>
          <w:shd w:val="clear" w:fill="FFFFFF"/>
        </w:rPr>
        <w:noBreakHyphen/>
      </w:r>
      <w:r>
        <w:rPr>
          <w:rFonts w:hint="default" w:ascii="Segoe UI" w:hAnsi="Segoe UI" w:eastAsia="Segoe UI" w:cs="Segoe UI"/>
          <w:b/>
          <w:bCs/>
          <w:i w:val="0"/>
          <w:iCs w:val="0"/>
          <w:caps w:val="0"/>
          <w:color w:val="0F1115"/>
          <w:spacing w:val="0"/>
          <w:sz w:val="24"/>
          <w:szCs w:val="24"/>
          <w:shd w:val="clear" w:fill="FFFFFF"/>
        </w:rPr>
        <w:t>contract Preparation</w:t>
      </w:r>
    </w:p>
    <w:p w14:paraId="074A15D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5.1 Application acceptance</w:t>
      </w:r>
    </w:p>
    <w:p w14:paraId="667CD0D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5.1.1 Submission of application</w:t>
      </w:r>
    </w:p>
    <w:p w14:paraId="4B96364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CRC's public documents on validation and verification are openly available to enable potential clients and/or responsible parties to decide whether to submit a service application.</w:t>
      </w:r>
    </w:p>
    <w:p w14:paraId="66D2115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Any potential client and/or responsible party wishing to entrust CRC with validation and verification services shall first submit a validation/verification service application form, which shall include at least the following information:</w:t>
      </w:r>
    </w:p>
    <w:p w14:paraId="525D531D">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The name of the potential client and/or responsible party and their legal person certificate, power of attorney (if required), etc.;</w:t>
      </w:r>
    </w:p>
    <w:p w14:paraId="1563B02E">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The name of the project to be validated/verified and the corresponding industry code. CRC has attached industry codes to the service application form. Potential clients and/or responsible parties may select the technical field code (medium class of industry) from this list. It should be noted that a validation/verification project may involve two or more industries;</w:t>
      </w:r>
    </w:p>
    <w:p w14:paraId="7235CA72">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The activity locations of the client and/or responsible party to be validated/verified;</w:t>
      </w:r>
    </w:p>
    <w:p w14:paraId="3CF03516">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The field (emission verification, reduction validation, reduction verification) and, if applicable, specific requirements of the activities to be validated/verified;</w:t>
      </w:r>
    </w:p>
    <w:p w14:paraId="77B30982">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The purpose and scope (including geographical and time boundaries) of the activities to be validated/verified;</w:t>
      </w:r>
    </w:p>
    <w:p w14:paraId="5DB318DC">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The declarations, data, and other relevant information already available for the activities to be validated/verified;</w:t>
      </w:r>
    </w:p>
    <w:p w14:paraId="4FBF6839">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The materiality threshold and level of assurance that can be determined at the application stage;</w:t>
      </w:r>
    </w:p>
    <w:p w14:paraId="23641CA9">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Any other information that may be required.</w:t>
      </w:r>
    </w:p>
    <w:p w14:paraId="33DB66E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CRC's project manager accepts applications. The service application form specifies the submission method.</w:t>
      </w:r>
    </w:p>
    <w:p w14:paraId="243B803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5.1.2 Evaluation of the application</w:t>
      </w:r>
    </w:p>
    <w:p w14:paraId="4AEAEB8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Within 5 working days after receiving the validation/verification service application, the project manager shall use the Validation/Verification Service Application Review Form to conduct a pre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contract assessment of the application in the following aspects:</w:t>
      </w:r>
    </w:p>
    <w:p w14:paraId="430F9044">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Whether a scheme already exists for the engagement or a new scheme needs to be developed. If CRC does not currently have a scheme applicable to the engagement, the project manager shall communicate with the potential client and/or responsible party to confirm whether they can wait for CRC to develop a new scheme. If so, the project manager shall initiate scheme development in accordance with the Validation/Verification Scheme Management Procedure;</w:t>
      </w:r>
    </w:p>
    <w:p w14:paraId="0A549F99">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Understanding the declaration to be validated/verified. The project manager shall at least clearly know which field the declaration belongs to;</w:t>
      </w:r>
    </w:p>
    <w:p w14:paraId="331D79BF">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The purpose and boundary of the validation/verification agreed with the potential client and/or responsible party. The project manager shall communicate with the potential client and/or responsible party to clearly understand the purpose of the validation/verification activities and potential users, the number of sites, geographical locations, time period covered (if any), and other information;</w:t>
      </w:r>
    </w:p>
    <w:p w14:paraId="3243DE8E">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Confirmation of applicable specific requirements for the declaration to be validated/verified. The project manager shall at least clearly know the standards/guidelines to be followed in this validation/verification, and (if any) the GHG mechanism to be participated in and the methodology to be used;</w:t>
      </w:r>
    </w:p>
    <w:p w14:paraId="75F329FA">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The materiality threshold and level of assurance that can be determined at this stage and agreed with the potential client and/or responsible party;</w:t>
      </w:r>
    </w:p>
    <w:p w14:paraId="792E4C33">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Feasibility of the validation/verification process. The project manager shall communicate with the potential client and/or responsible party to clearly understand whether there are obstacles to implementing the validation/verification activities, such as inability to conduct 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site inspections or inability to provide evidence;</w:t>
      </w:r>
    </w:p>
    <w:p w14:paraId="486A4887">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Estimated duration of the validation/verification activities. Based on CRC's validation/verification business arrangements and the current workload of personnel, the project manager shall provide a rough estimate of the duration;</w:t>
      </w:r>
    </w:p>
    <w:p w14:paraId="49C90DE9">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Identified and available resources and competence of CRC for the proposed validation/verification activities. The project manager shall, with reference to the industry code filled in the service application and in consultation with CRC's scheme developer, determine the industries involved in this validation/verification and confirm whether the recognised industry support personnel (including external personnel) can cover the industries involved. The scheme developer involved in determining the industries shall sign the relevant section of the Validation/Verification Service Application Review Form;</w:t>
      </w:r>
    </w:p>
    <w:p w14:paraId="751E4E3E">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The project manager shall communicate with the potential client and/or responsible party to determine whether special equipment, instruments, software, etc., are needed for the validation/verification, and whether CRC can obtain such items;</w:t>
      </w:r>
    </w:p>
    <w:p w14:paraId="5381F488">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Recommended time schedule for the proposed validation/verification. The project manager shall suggest to the potential client and/or responsible party a general timeframe, including at least the expected start date, expected 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site inspection date (if required), and expected completion date.</w:t>
      </w:r>
    </w:p>
    <w:p w14:paraId="3EE974A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Based on the findings of the above assessment, the project manager shall record the assessment result in the Validation/Verification Service Application Review Form as either acceptance or non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acceptance (declining) of the application.</w:t>
      </w:r>
    </w:p>
    <w:p w14:paraId="4F47EEE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5.2 Impartiality information statement</w:t>
      </w:r>
    </w:p>
    <w:p w14:paraId="2AD5B5C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To ensure impartiality, CRC sends an Impartiality Information Statement to the potential client upon receipt of the application and requires a reply within 10 working days. The potential client shall truthfully provide the information in the statement. If the potential client fails to reply, or if CRC finds that the content of the statement unavoidably affects impartiality, CRC will decline the application.</w:t>
      </w:r>
    </w:p>
    <w:p w14:paraId="6426105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5.3 Notification of application result</w:t>
      </w:r>
    </w:p>
    <w:p w14:paraId="64268B3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Based on the conclusions from Sections 5.1.2 and 5.2 of this procedure, the project manager shall complete the relevant section of the Validation/Verification Service Application Form and send it to the potential client and/or responsible party.</w:t>
      </w:r>
    </w:p>
    <w:p w14:paraId="093889A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color w:val="0F1115"/>
          <w:spacing w:val="0"/>
          <w:sz w:val="24"/>
          <w:szCs w:val="24"/>
          <w:shd w:val="clear" w:fill="FFFFFF"/>
        </w:rPr>
        <w:t>After completing each application acceptance, the project manager shall update the validation/verification project file.</w:t>
      </w:r>
    </w:p>
    <w:p w14:paraId="307C47E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6. Contract Signing</w:t>
      </w:r>
    </w:p>
    <w:p w14:paraId="6B9FECA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All validation and verification audits require a formal legally binding validation and verification contract with the client. If the client is from within CRC, an internal agreement shall also be signed to define service content, level, etc.</w:t>
      </w:r>
    </w:p>
    <w:p w14:paraId="40BCD71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CRC's project manager is responsible for contract signing with the potential client.</w:t>
      </w:r>
    </w:p>
    <w:p w14:paraId="1109C38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The standard validation/verification contract/agreement template of CRC shall be used. Contents may be added, reduced, or modified by mutual agreement, provided that any changes do not materially affect or conflict with the standard contract.</w:t>
      </w:r>
    </w:p>
    <w:p w14:paraId="35D00A8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The validation/verification contract/agreement shall specify that the client must comply with CRC's validation and verification requirements, ensure that CRC obtains complete, sufficient, true and valid information and data, and stipulate the implementation of the validation/verification and the use of conclusions. Where applicable, the service application form may be attached to the contract/agreement.</w:t>
      </w:r>
    </w:p>
    <w:p w14:paraId="4067B2F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color w:val="0F1115"/>
          <w:spacing w:val="0"/>
          <w:sz w:val="24"/>
          <w:szCs w:val="24"/>
          <w:shd w:val="clear" w:fill="FFFFFF"/>
        </w:rPr>
        <w:t>The contract shall clearly state the type of contract: first</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party, second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party, or third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party. CRC's internal validation/verification agreements are first</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party. If CRC conducts validation/verification for a non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internal client and/or responsible party, and the conclusions are for CRC's own use, it is second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party; otherwise it is third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party. The contract shall also clearly specify the standard/process to be followed, or state that it is an agreed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upon procedures (AUP) engagement.</w:t>
      </w:r>
    </w:p>
    <w:p w14:paraId="6A98D6C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7. Process Management for Government Affairs</w:t>
      </w:r>
    </w:p>
    <w:p w14:paraId="00124E3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color w:val="0F1115"/>
          <w:spacing w:val="0"/>
          <w:sz w:val="24"/>
          <w:szCs w:val="24"/>
          <w:shd w:val="clear" w:fill="FFFFFF"/>
        </w:rPr>
        <w:t>CRC's validation and verification activities may arise from government affairs, including but not limited to government procurement, tendering, competitive negotiation, sole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source procurement, or government</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designated validation/verification tasks. The pre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contract preparation, contracting, planning, implementation, review, decision, and post</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decision handling of material findings for government affairs shall follow the relevant government regulations and requirements, and Sections 5, 6, 9 to 13 of this procedure do not apply.</w:t>
      </w:r>
    </w:p>
    <w:p w14:paraId="3782249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8. Process Management for Agreed</w:t>
      </w:r>
      <w:r>
        <w:rPr>
          <w:rFonts w:hint="default" w:ascii="Segoe UI" w:hAnsi="Segoe UI" w:eastAsia="Segoe UI" w:cs="Segoe UI"/>
          <w:b/>
          <w:bCs/>
          <w:i w:val="0"/>
          <w:iCs w:val="0"/>
          <w:caps w:val="0"/>
          <w:color w:val="0F1115"/>
          <w:spacing w:val="0"/>
          <w:sz w:val="24"/>
          <w:szCs w:val="24"/>
          <w:shd w:val="clear" w:fill="FFFFFF"/>
        </w:rPr>
        <w:noBreakHyphen/>
      </w:r>
      <w:r>
        <w:rPr>
          <w:rFonts w:hint="default" w:ascii="Segoe UI" w:hAnsi="Segoe UI" w:eastAsia="Segoe UI" w:cs="Segoe UI"/>
          <w:b/>
          <w:bCs/>
          <w:i w:val="0"/>
          <w:iCs w:val="0"/>
          <w:caps w:val="0"/>
          <w:color w:val="0F1115"/>
          <w:spacing w:val="0"/>
          <w:sz w:val="24"/>
          <w:szCs w:val="24"/>
          <w:shd w:val="clear" w:fill="FFFFFF"/>
        </w:rPr>
        <w:t>upon Procedures (AUP)</w:t>
      </w:r>
    </w:p>
    <w:p w14:paraId="7BF5390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color w:val="0F1115"/>
          <w:spacing w:val="0"/>
          <w:sz w:val="24"/>
          <w:szCs w:val="24"/>
          <w:shd w:val="clear" w:fill="FFFFFF"/>
        </w:rPr>
        <w:t>Due to the special nature of AUP, its process management is detailed in the AUP Validation/Verification Scheme, and Sections 8 and subsequent sections of this procedure do not apply.</w:t>
      </w:r>
    </w:p>
    <w:p w14:paraId="66D6D87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9. Planning</w:t>
      </w:r>
    </w:p>
    <w:p w14:paraId="7402000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9.1 Resource allocation</w:t>
      </w:r>
    </w:p>
    <w:p w14:paraId="1ECC3DD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9.1.1 Assignment of work</w:t>
      </w:r>
    </w:p>
    <w:p w14:paraId="4EDCBB8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After contract signing and receipt of relevant documents from the verified party, the project manager forms the validation/verification team. Specific man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days are determined according to the "Method for Determining Man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days" in the annex. The following considerations shall be taken into account when forming the team:</w:t>
      </w:r>
    </w:p>
    <w:p w14:paraId="7CC5514B">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Impartiality threats. The project manager shall assign work based on the validation/verification personnel's impartiality and confidentiality commitments and the client/responsible party's impartiality information statement, and shall not assign personnel with impartiality threats to participate in the validation/verification.</w:t>
      </w:r>
    </w:p>
    <w:p w14:paraId="1F16BBC0">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Competence required for the field of the validation/verification for the team or technical reviewers. See the requirements in the validation/verification scheme.</w:t>
      </w:r>
    </w:p>
    <w:p w14:paraId="446CC856">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Status of validation and verification personnel. The project manager shall ensure that assigned team leaders, members, or technical review leaders/members have obtained the necessary competence recognition and authorisation for the assigned roles, referring to the Resource Management Procedure.</w:t>
      </w:r>
    </w:p>
    <w:p w14:paraId="5DC860A3">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Industries involved. The project manager shall ensure that the team or technical reviewers include at least one recognised industry support person for each industry involved. If multiple industries are involved, at least one support person for each industry shall be assigned. Support persons may be separate or serve concurrently as other members. They may be external personnel.</w:t>
      </w:r>
    </w:p>
    <w:p w14:paraId="0CF140AE">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Arrangement of observers. The project manager shall randomly select validation/verification activities at a 5% ratio and assign one observer to the team.</w:t>
      </w:r>
    </w:p>
    <w:p w14:paraId="714FD8E2">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Arrangement of trainees. The project manager shall assign CRC's current trainees to participate; their competence is not counted towards the team's competence.</w:t>
      </w:r>
    </w:p>
    <w:p w14:paraId="3186BBE0">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Arrangement of technical reviewers. The project manager shall ensure that persons involved in implementation (including industry support persons) are not assigned as technical reviewers.</w:t>
      </w:r>
    </w:p>
    <w:p w14:paraId="30EA4398">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Timeframe. The project manager shall allocate work according to the general timeframe determined during pre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contract preparation and the expectations of the client/responsible party.</w:t>
      </w:r>
    </w:p>
    <w:p w14:paraId="325CA901">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Availability and workload of validation and verification personnel. The project manager shall avoid assigning persons with low availability or high workloads.</w:t>
      </w:r>
    </w:p>
    <w:p w14:paraId="57F59BD7">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For reduction verification assignments, persons who participated in the same project's reduction validation shall not be assigned to the reduction verification team, regardless of whether participation occurred during employment at CRC.</w:t>
      </w:r>
    </w:p>
    <w:p w14:paraId="20071D0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9.1.2 Assignment and acceptance of work</w:t>
      </w:r>
    </w:p>
    <w:p w14:paraId="7AB339A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After assignment, the project manager fills out the Validation/Verification Work Assignment Form and communicates it to all assigned personnel via internal email or OA system. Each assigned person shall consider:</w:t>
      </w:r>
    </w:p>
    <w:p w14:paraId="1D272A1C">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Whether there are actual or potential impartiality issues with the client/responsible party.</w:t>
      </w:r>
    </w:p>
    <w:p w14:paraId="3A3E708E">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Whether they have sufficient competence and willingness to complete the work.</w:t>
      </w:r>
    </w:p>
    <w:p w14:paraId="3F0F4BC0">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Whether they can work within the expected time and schedule.</w:t>
      </w:r>
    </w:p>
    <w:p w14:paraId="40DABA66">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Any other relevant matters.</w:t>
      </w:r>
    </w:p>
    <w:p w14:paraId="750FC01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Assigned personnel shall confirm acceptance or provide feedback within 3 working days of receiving the notification. Based on feedback, the project manager shall decide whether the person is suitable; if not, another person shall be reassigned.</w:t>
      </w:r>
    </w:p>
    <w:p w14:paraId="6E23643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The team is complete only when all assigned persons have confirmed acceptance. The team leader will represent the team.</w:t>
      </w:r>
    </w:p>
    <w:p w14:paraId="03F25CC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9.1.3 Allocation of other resources</w:t>
      </w:r>
    </w:p>
    <w:p w14:paraId="40B6296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Usually, validation/verification activities do not require special resources beyond personnel and basic office equipment. The project manager shall determine whether other resources are needed and, if so, obtain them and hand them over to the team leader after team formation.</w:t>
      </w:r>
    </w:p>
    <w:p w14:paraId="3450221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9.2 Document review</w:t>
      </w:r>
    </w:p>
    <w:p w14:paraId="638064C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Validation/verification team members shall, in accordance with the GHG emission accounting methods and reporting guidelines (hereinafter "accounting guidelines") and relevant technical specifications of the corresponding industry, review the emission report and data quality control plan and other supporting materials submitted by the verified party, to preliminarily confirm the conformity of the verified party's GHG emissions and related information, identify key points for 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site verification, and propose 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site verification requirements such as time, persons to interview, facilities/equipment/operations to observe, and supporting documents to consult. They shall complete the Document Review Form and 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site Verification Checklist and submit them to the verified party or competent authority (where applicable).</w:t>
      </w:r>
    </w:p>
    <w:p w14:paraId="0A2A3A3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Verifiers shall verify whether the responsible party owns or has the right to claim the emission reductions or removal enhancements expressed in the GHG statement.</w:t>
      </w:r>
    </w:p>
    <w:p w14:paraId="2AABC2D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The verification team shall review the following documents submitted by the organization:</w:t>
      </w:r>
    </w:p>
    <w:p w14:paraId="5AC7A289">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GHG report (including GHG statement) and previous relevant verification reports and/or statements.</w:t>
      </w:r>
    </w:p>
    <w:p w14:paraId="4A268091">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GHG inventory and previous relevant GHG inventories.</w:t>
      </w:r>
    </w:p>
    <w:p w14:paraId="74FD1B1A">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GHG information management system (including responsibility allocation, personnel training, document and record management procedures, GHG quantification and reporting procedures, data quality management procedures, etc.).</w:t>
      </w:r>
    </w:p>
    <w:p w14:paraId="167EA5A3">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Process flow diagram.</w:t>
      </w:r>
    </w:p>
    <w:p w14:paraId="7788F640">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Electricity metering network diagram.</w:t>
      </w:r>
    </w:p>
    <w:p w14:paraId="48F326BC">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Site layout plan.</w:t>
      </w:r>
    </w:p>
    <w:p w14:paraId="0BBA24A5">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Organization chart.</w:t>
      </w:r>
    </w:p>
    <w:p w14:paraId="7C836977">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"Industrial Enterprise Energy Purchase, Consumption and Inventory" table and attachments.</w:t>
      </w:r>
    </w:p>
    <w:p w14:paraId="68BA0045">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Other relevant materials (including equipment list, fuel list, refrigerant list, etc.).</w:t>
      </w:r>
    </w:p>
    <w:p w14:paraId="5382013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The verification team shall record and keep the Document Review Form. GHG validation and verification teams may, as needed, access the original supporting documents, as well as internal data quality control and quality assurance documents and records. The team shall focus on the following as key points during document review: complaints about the enterprise's GHG emissions and related information; anomalies found in routine data monitoring; and the document review should run throughout the entire validation/verification process.</w:t>
      </w:r>
    </w:p>
    <w:p w14:paraId="5DF66A7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Detailed review aspects include:</w:t>
      </w:r>
    </w:p>
    <w:p w14:paraId="2BEC064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9.2.1 GHG emission accounting report</w:t>
      </w:r>
    </w:p>
    <w:p w14:paraId="6CE072E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9.2.1.1 Completeness of the report</w:t>
      </w:r>
      <w:r>
        <w:rPr>
          <w:rFonts w:hint="default" w:ascii="Segoe UI" w:hAnsi="Segoe UI" w:eastAsia="Segoe UI" w:cs="Segoe UI"/>
          <w:i w:val="0"/>
          <w:iCs w:val="0"/>
          <w:caps w:val="0"/>
          <w:color w:val="0F1115"/>
          <w:spacing w:val="0"/>
          <w:sz w:val="24"/>
          <w:szCs w:val="24"/>
          <w:shd w:val="clear" w:fill="FFFFFF"/>
        </w:rPr>
        <w:t> – Check whether the report includes all necessary elements such as organization profile, accounting boundary, emission source identification, activity data statistics, emission factor calculations, total GHG emissions, etc.</w:t>
      </w:r>
    </w:p>
    <w:p w14:paraId="177B349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9.2.1.2 Accuracy of data</w:t>
      </w:r>
      <w:r>
        <w:rPr>
          <w:rFonts w:hint="default" w:ascii="Segoe UI" w:hAnsi="Segoe UI" w:eastAsia="Segoe UI" w:cs="Segoe UI"/>
          <w:i w:val="0"/>
          <w:iCs w:val="0"/>
          <w:caps w:val="0"/>
          <w:color w:val="0F1115"/>
          <w:spacing w:val="0"/>
          <w:sz w:val="24"/>
          <w:szCs w:val="24"/>
          <w:shd w:val="clear" w:fill="FFFFFF"/>
        </w:rPr>
        <w:t> – Verify that activity data and emission factors are accurate, have reliable sources and calculation methods, and that units, precision, and format meet requirements.</w:t>
      </w:r>
    </w:p>
    <w:p w14:paraId="0F97EBB8">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9.2.1.3 Reasonableness of calculation methods</w:t>
      </w:r>
      <w:r>
        <w:rPr>
          <w:rFonts w:hint="default" w:ascii="Segoe UI" w:hAnsi="Segoe UI" w:eastAsia="Segoe UI" w:cs="Segoe UI"/>
          <w:i w:val="0"/>
          <w:iCs w:val="0"/>
          <w:caps w:val="0"/>
          <w:color w:val="0F1115"/>
          <w:spacing w:val="0"/>
          <w:sz w:val="24"/>
          <w:szCs w:val="24"/>
          <w:shd w:val="clear" w:fill="FFFFFF"/>
        </w:rPr>
        <w:t> – Verify that the calculation methods comply with relevant standards and guidelines and consider all emission sources and activities; check whether the calculation process is clear, correct, and free of errors or omissions.</w:t>
      </w:r>
    </w:p>
    <w:p w14:paraId="186E499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9.2.1.4 Truthfulness of the report</w:t>
      </w:r>
      <w:r>
        <w:rPr>
          <w:rFonts w:hint="default" w:ascii="Segoe UI" w:hAnsi="Segoe UI" w:eastAsia="Segoe UI" w:cs="Segoe UI"/>
          <w:i w:val="0"/>
          <w:iCs w:val="0"/>
          <w:caps w:val="0"/>
          <w:color w:val="0F1115"/>
          <w:spacing w:val="0"/>
          <w:sz w:val="24"/>
          <w:szCs w:val="24"/>
          <w:shd w:val="clear" w:fill="FFFFFF"/>
        </w:rPr>
        <w:t> – Verify whether the contents truthfully reflect the organization's actual GHG emissions, without false statements or concealment of material information.</w:t>
      </w:r>
    </w:p>
    <w:p w14:paraId="6D0F28D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9.2.2 GHG management system documents</w:t>
      </w:r>
    </w:p>
    <w:p w14:paraId="373A445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9.2.2.1 Completeness of the system</w:t>
      </w:r>
      <w:r>
        <w:rPr>
          <w:rFonts w:hint="default" w:ascii="Segoe UI" w:hAnsi="Segoe UI" w:eastAsia="Segoe UI" w:cs="Segoe UI"/>
          <w:i w:val="0"/>
          <w:iCs w:val="0"/>
          <w:caps w:val="0"/>
          <w:color w:val="0F1115"/>
          <w:spacing w:val="0"/>
          <w:sz w:val="24"/>
          <w:szCs w:val="24"/>
          <w:shd w:val="clear" w:fill="FFFFFF"/>
        </w:rPr>
        <w:t> – Verify whether the system documents cover all necessary elements such as policy, objectives, responsibility allocation, management systems, monitoring plans, internal audits, and management reviews.</w:t>
      </w:r>
    </w:p>
    <w:p w14:paraId="4F782B3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9.2.2.2 Effectiveness of the system</w:t>
      </w:r>
      <w:r>
        <w:rPr>
          <w:rFonts w:hint="default" w:ascii="Segoe UI" w:hAnsi="Segoe UI" w:eastAsia="Segoe UI" w:cs="Segoe UI"/>
          <w:i w:val="0"/>
          <w:iCs w:val="0"/>
          <w:caps w:val="0"/>
          <w:color w:val="0F1115"/>
          <w:spacing w:val="0"/>
          <w:sz w:val="24"/>
          <w:szCs w:val="24"/>
          <w:shd w:val="clear" w:fill="FFFFFF"/>
        </w:rPr>
        <w:t> – Check whether the management system is practical and effective in controlling GHG emissions, and whether there are violations or management loopholes.</w:t>
      </w:r>
    </w:p>
    <w:p w14:paraId="72C6582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9.2.2.3 Reasonableness of the monitoring plan</w:t>
      </w:r>
      <w:r>
        <w:rPr>
          <w:rFonts w:hint="default" w:ascii="Segoe UI" w:hAnsi="Segoe UI" w:eastAsia="Segoe UI" w:cs="Segoe UI"/>
          <w:i w:val="0"/>
          <w:iCs w:val="0"/>
          <w:caps w:val="0"/>
          <w:color w:val="0F1115"/>
          <w:spacing w:val="0"/>
          <w:sz w:val="24"/>
          <w:szCs w:val="24"/>
          <w:shd w:val="clear" w:fill="FFFFFF"/>
        </w:rPr>
        <w:t> – Verify whether the monitoring plan is scientifically sound and can accurately monitor GHG emissions; check whether monitoring equipment selection, installation, and calibration meet requirements, and whether data collection, processing, and analysis are standardised.</w:t>
      </w:r>
    </w:p>
    <w:p w14:paraId="3F29647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9.2.3 Other relevant documents</w:t>
      </w:r>
    </w:p>
    <w:p w14:paraId="5A575E9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9.2.3.1 Energy consumption records</w:t>
      </w:r>
      <w:r>
        <w:rPr>
          <w:rFonts w:hint="default" w:ascii="Segoe UI" w:hAnsi="Segoe UI" w:eastAsia="Segoe UI" w:cs="Segoe UI"/>
          <w:i w:val="0"/>
          <w:iCs w:val="0"/>
          <w:caps w:val="0"/>
          <w:color w:val="0F1115"/>
          <w:spacing w:val="0"/>
          <w:sz w:val="24"/>
          <w:szCs w:val="24"/>
          <w:shd w:val="clear" w:fill="FFFFFF"/>
        </w:rPr>
        <w:t> – Verify completeness and accuracy, and whether they match the activity data in the GHG report; check measurement methods, statistical cycles, and data sources.</w:t>
      </w:r>
    </w:p>
    <w:p w14:paraId="778EA3A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9.2.3.2 Emission source inventory</w:t>
      </w:r>
      <w:r>
        <w:rPr>
          <w:rFonts w:hint="default" w:ascii="Segoe UI" w:hAnsi="Segoe UI" w:eastAsia="Segoe UI" w:cs="Segoe UI"/>
          <w:i w:val="0"/>
          <w:iCs w:val="0"/>
          <w:caps w:val="0"/>
          <w:color w:val="0F1115"/>
          <w:spacing w:val="0"/>
          <w:sz w:val="24"/>
          <w:szCs w:val="24"/>
          <w:shd w:val="clear" w:fill="FFFFFF"/>
        </w:rPr>
        <w:t> – Verify completeness and accuracy, covering all GHG emission sources; check classification, description, and identification methods against standards.</w:t>
      </w:r>
    </w:p>
    <w:p w14:paraId="35815ED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9.2.3.3 Emission reduction project documents</w:t>
      </w:r>
      <w:r>
        <w:rPr>
          <w:rFonts w:hint="default" w:ascii="Segoe UI" w:hAnsi="Segoe UI" w:eastAsia="Segoe UI" w:cs="Segoe UI"/>
          <w:i w:val="0"/>
          <w:iCs w:val="0"/>
          <w:caps w:val="0"/>
          <w:color w:val="0F1115"/>
          <w:spacing w:val="0"/>
          <w:sz w:val="24"/>
          <w:szCs w:val="24"/>
          <w:shd w:val="clear" w:fill="FFFFFF"/>
        </w:rPr>
        <w:t> – Review project documents including project plans, implementation records, and effectiveness evaluations; check whether objectives, measures, and expected results are clear, implementation is standardised, and evaluations are objective and accurate.</w:t>
      </w:r>
    </w:p>
    <w:p w14:paraId="5D20796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9.3 Validation/verification plan</w:t>
      </w:r>
    </w:p>
    <w:p w14:paraId="065564F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9.3.1 Development of the plan</w:t>
      </w:r>
    </w:p>
    <w:p w14:paraId="5BB6A97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CRC will, at the start of each validation/verification activity, consider the following aspects to develop a plan:</w:t>
      </w:r>
    </w:p>
    <w:p w14:paraId="2FA29241">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Strategy analysis – based on the field, industry, standards applied, purpose and scope of the client/responsible party, potential target users, sampling (if any), materiality, level of assurance, etc., to understand the nature and complexity and determine the activities needed.</w:t>
      </w:r>
    </w:p>
    <w:p w14:paraId="79D662EA">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Review the declarations and standards/guidelines/criteria provided, and identify potential inconsistencies.</w:t>
      </w:r>
    </w:p>
    <w:p w14:paraId="149EB1A5">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Allocate resources according to Section 9.1.</w:t>
      </w:r>
    </w:p>
    <w:p w14:paraId="0EAC121C">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Read and understand the declaration, identify areas of focus, and plan corresponding activities.</w:t>
      </w:r>
    </w:p>
    <w:p w14:paraId="7CEFCFF2">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Read and understand the declaration, identify potential risks of material misstatement, and plan corresponding activities.</w:t>
      </w:r>
    </w:p>
    <w:p w14:paraId="50DB9A28">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Agree on the time framework with the client/responsible party, especially the 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site inspection schedule. In principle, the time from commencement to issuance of report should not exceed 100 days, excluding delays caused by the client/responsible party/owner/project owner failing to submit materials on time, not accepting 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site reviews as planned, or not responding to corrective actions as required. See Section 9.3.3.</w:t>
      </w:r>
    </w:p>
    <w:p w14:paraId="57E0422F">
      <w:pPr>
        <w:pStyle w:val="2"/>
        <w:keepNext w:val="0"/>
        <w:keepLines w:val="0"/>
        <w:widowControl/>
        <w:suppressLineNumbers w:val="0"/>
        <w:spacing w:before="0" w:beforeAutospacing="0" w:after="120" w:afterAutospacing="0"/>
        <w:ind w:left="0" w:right="0"/>
      </w:pPr>
      <w:r>
        <w:rPr>
          <w:rFonts w:hint="default" w:ascii="Segoe UI" w:hAnsi="Segoe UI" w:eastAsia="Segoe UI" w:cs="Segoe UI"/>
          <w:i w:val="0"/>
          <w:iCs w:val="0"/>
          <w:caps w:val="0"/>
          <w:color w:val="0F1115"/>
          <w:spacing w:val="0"/>
          <w:sz w:val="24"/>
          <w:szCs w:val="24"/>
          <w:shd w:val="clear" w:fill="FFFFFF"/>
        </w:rPr>
        <w:t>Based on results of 4) and 5), determine evidence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gathering activities, which may include requesting materials, searching public literature, 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site inspection, interviews, external consultation with experts, testing, etc. If sampling is involved, determine sampling method and sample size.</w:t>
      </w:r>
    </w:p>
    <w:p w14:paraId="5A633B7F">
      <w:pPr>
        <w:pStyle w:val="2"/>
        <w:keepNext w:val="0"/>
        <w:keepLines w:val="0"/>
        <w:widowControl/>
        <w:suppressLineNumbers w:val="0"/>
        <w:spacing w:before="120" w:beforeAutospacing="0" w:after="120" w:afterAutospacing="0"/>
        <w:ind w:left="0" w:right="0"/>
      </w:pPr>
      <w:r>
        <w:rPr>
          <w:rFonts w:hint="default" w:ascii="Segoe UI" w:hAnsi="Segoe UI" w:eastAsia="Segoe UI" w:cs="Segoe UI"/>
          <w:i w:val="0"/>
          <w:iCs w:val="0"/>
          <w:caps w:val="0"/>
          <w:color w:val="0F1115"/>
          <w:spacing w:val="0"/>
          <w:sz w:val="24"/>
          <w:szCs w:val="24"/>
          <w:shd w:val="clear" w:fill="FFFFFF"/>
        </w:rPr>
        <w:t>Note: When the number of objects or sites exceeds 5, sampling may be applied, with sample size equal to the square root of the total rounded up, but at least 5. Sampling may also be applied for discrete data with periods of week or shorter; continuous data generally not sampled.</w:t>
      </w:r>
    </w:p>
    <w:p w14:paraId="4F412612">
      <w:pPr>
        <w:pStyle w:val="2"/>
        <w:keepNext w:val="0"/>
        <w:keepLines w:val="0"/>
        <w:widowControl/>
        <w:suppressLineNumbers w:val="0"/>
        <w:spacing w:before="12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Sampling methods: simple random, stratified, cluster, systematic.</w:t>
      </w:r>
    </w:p>
    <w:p w14:paraId="44893153">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Based on results of 5) and the client's control measures, develop an evidence collection plan aimed at eliminating or minimising risks of misstatement. Include a list of evidence needed; for sampling, develop a plan per sample.</w:t>
      </w:r>
    </w:p>
    <w:p w14:paraId="67DD0679">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Use the evidence collection plan as input to develop the validation/verification plan.</w:t>
      </w:r>
    </w:p>
    <w:p w14:paraId="3D455A2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The preparation may be iterative due to changes in boundary, timeframe, evidence collection process, scheduling, or newly identified risks.</w:t>
      </w:r>
    </w:p>
    <w:p w14:paraId="69D9935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Note 1: Start date is the agreed date in the plan; under some mechanisms (e.g., A6.4, CCER), it is the date of public posting of project design document or monitoring report.</w:t>
      </w:r>
    </w:p>
    <w:p w14:paraId="071F75C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Note 2: Discrete data are independent and can be statistically processed; continuous data are correlated over a period and cannot be statistically processed.</w:t>
      </w:r>
    </w:p>
    <w:p w14:paraId="6CF8100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9.3.2 Contents of the plan</w:t>
      </w:r>
    </w:p>
    <w:p w14:paraId="0C0C175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The plan includes:</w:t>
      </w:r>
    </w:p>
    <w:p w14:paraId="4081DD7F">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Purpose and scope.</w:t>
      </w:r>
    </w:p>
    <w:p w14:paraId="3F8FC124">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Team members, roles and responsibilities (including leader, observer, etc.).</w:t>
      </w:r>
    </w:p>
    <w:p w14:paraId="6B6C8EE3">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Contact information.</w:t>
      </w:r>
    </w:p>
    <w:p w14:paraId="301A2BBB">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Emission verification standards.</w:t>
      </w:r>
    </w:p>
    <w:p w14:paraId="683BEE70">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Schedule and duration.</w:t>
      </w:r>
    </w:p>
    <w:p w14:paraId="412FCA24">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Level of assurance and materiality threshold.</w:t>
      </w:r>
    </w:p>
    <w:p w14:paraId="76925DEE">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Other specified requirements.</w:t>
      </w:r>
    </w:p>
    <w:p w14:paraId="023C6086">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site inspection schedule; if none planned, state reasons.</w:t>
      </w:r>
    </w:p>
    <w:p w14:paraId="4E16F04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9.3.3 Approval and agreement of the plan</w:t>
      </w:r>
    </w:p>
    <w:p w14:paraId="1C082EE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Usually prepared by the team leader (or another member with leader's approval) and signed by the leader.</w:t>
      </w:r>
    </w:p>
    <w:p w14:paraId="4D3ECE0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The approved plan is communicated to the client/responsible party, who shall confirm or object within 5 working days. If confirmed or no response within 5 days, it is deemed agreed. If objections are raised, the planner shall communicate; if changes are needed, the plan shall be revised, approved, and agreed per Sections 9.3.1 to 9.3.3.</w:t>
      </w:r>
    </w:p>
    <w:p w14:paraId="2153ED5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9.3.4 Post</w:t>
      </w:r>
      <w:r>
        <w:rPr>
          <w:rFonts w:hint="default" w:ascii="Segoe UI" w:hAnsi="Segoe UI" w:eastAsia="Segoe UI" w:cs="Segoe UI"/>
          <w:b/>
          <w:bCs/>
          <w:i w:val="0"/>
          <w:iCs w:val="0"/>
          <w:caps w:val="0"/>
          <w:color w:val="0F1115"/>
          <w:spacing w:val="0"/>
          <w:sz w:val="24"/>
          <w:szCs w:val="24"/>
          <w:shd w:val="clear" w:fill="FFFFFF"/>
        </w:rPr>
        <w:noBreakHyphen/>
      </w:r>
      <w:r>
        <w:rPr>
          <w:rFonts w:hint="default" w:ascii="Segoe UI" w:hAnsi="Segoe UI" w:eastAsia="Segoe UI" w:cs="Segoe UI"/>
          <w:b/>
          <w:bCs/>
          <w:i w:val="0"/>
          <w:iCs w:val="0"/>
          <w:caps w:val="0"/>
          <w:color w:val="0F1115"/>
          <w:spacing w:val="0"/>
          <w:sz w:val="24"/>
          <w:szCs w:val="24"/>
          <w:shd w:val="clear" w:fill="FFFFFF"/>
        </w:rPr>
        <w:t>agreement changes to the plan</w:t>
      </w:r>
    </w:p>
    <w:p w14:paraId="58197E5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Changes are required in cases such as:</w:t>
      </w:r>
    </w:p>
    <w:p w14:paraId="622765F3">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Change in scope or schedule.</w:t>
      </w:r>
    </w:p>
    <w:p w14:paraId="4DFDCBB7">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Change in evidence collection activities.</w:t>
      </w:r>
    </w:p>
    <w:p w14:paraId="06CAF4B0">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Change in evidence collection locations or sources.</w:t>
      </w:r>
    </w:p>
    <w:p w14:paraId="7281D2D7">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New risks or concerns identified that could lead to material misstatement or non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conformity.</w:t>
      </w:r>
    </w:p>
    <w:p w14:paraId="205B1A0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Changes shall be made by the original planner per Sections 9.3.1 to 9.3.3, and the team leader shall complete a Change Record.</w:t>
      </w:r>
    </w:p>
    <w:p w14:paraId="138A5AE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color w:val="0F1115"/>
          <w:spacing w:val="0"/>
          <w:sz w:val="24"/>
          <w:szCs w:val="24"/>
          <w:shd w:val="clear" w:fill="FFFFFF"/>
        </w:rPr>
        <w:t>The formulation of the plan is closely linked to the specific field and should also follow the relevant validation/verification scheme.</w:t>
      </w:r>
    </w:p>
    <w:p w14:paraId="226865A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10. Validation and Verification Implementation</w:t>
      </w:r>
    </w:p>
    <w:p w14:paraId="7AD6734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10.1.1 Impartiality and integrity statement for validation/verification activities</w:t>
      </w:r>
    </w:p>
    <w:p w14:paraId="55E402F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CRC will provide the client with an impartiality and confidentiality statement, informing them that CRC will conduct the activities impartially and with integrity, and accept supervision from the client/responsible party.</w:t>
      </w:r>
    </w:p>
    <w:p w14:paraId="6839381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CRC requires the client, and asks the client to confirm with the responsible party, to sign the statement.</w:t>
      </w:r>
    </w:p>
    <w:p w14:paraId="47AD6B1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10.1.2 Implementation according to the plan</w:t>
      </w:r>
    </w:p>
    <w:p w14:paraId="51ADCB5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The team shall implement the activities according to the agreed plan, including but not limited to:</w:t>
      </w:r>
    </w:p>
    <w:p w14:paraId="6B812B0F">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Collecting evidence, including raw data and information, obtaining sufficient objective evidence, ensuring traceability through process management, and further analysing and calculating collected data.</w:t>
      </w:r>
    </w:p>
    <w:p w14:paraId="6C2B9B78">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Identifying misstatements and considering their materiality.</w:t>
      </w:r>
    </w:p>
    <w:p w14:paraId="1145CB9D">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Evaluating whether other specific requirements of the validation/verification scheme are met.</w:t>
      </w:r>
    </w:p>
    <w:p w14:paraId="3208E50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10.1.2.1 Validation/verification techniques</w:t>
      </w:r>
    </w:p>
    <w:p w14:paraId="7971F82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Techniques include one or more of the following:</w:t>
      </w:r>
    </w:p>
    <w:p w14:paraId="509BE652">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Observation.</w:t>
      </w:r>
    </w:p>
    <w:p w14:paraId="7D5DB177">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Enquiry.</w:t>
      </w:r>
    </w:p>
    <w:p w14:paraId="321F21B2">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Analytical testing.</w:t>
      </w:r>
    </w:p>
    <w:p w14:paraId="0B027699">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Confirmation.</w:t>
      </w:r>
    </w:p>
    <w:p w14:paraId="6F7570D4">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Re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calculation.</w:t>
      </w:r>
    </w:p>
    <w:p w14:paraId="440D4F66">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Testing.</w:t>
      </w:r>
    </w:p>
    <w:p w14:paraId="4FB31626">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Back</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tracking.</w:t>
      </w:r>
    </w:p>
    <w:p w14:paraId="46A5DF0E">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Tracing.</w:t>
      </w:r>
    </w:p>
    <w:p w14:paraId="33AA1D9D">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Control testing.</w:t>
      </w:r>
    </w:p>
    <w:p w14:paraId="59B256D6">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Sampling.</w:t>
      </w:r>
    </w:p>
    <w:p w14:paraId="0357804F">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Evaluation testing.</w:t>
      </w:r>
    </w:p>
    <w:p w14:paraId="38773A42">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Cross</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checking.</w:t>
      </w:r>
    </w:p>
    <w:p w14:paraId="7C2148FC">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Comparison.</w:t>
      </w:r>
    </w:p>
    <w:p w14:paraId="46DE5B2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10.1.2.2 Evidence and document review</w:t>
      </w:r>
    </w:p>
    <w:p w14:paraId="4FC4A66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Evidence includes but is not limited to:</w:t>
      </w:r>
    </w:p>
    <w:p w14:paraId="238ECEE8">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Documents provided under the client/responsible party's assurance of truthfulness, especially those related to project design and implementation timing (e.g., feasibility study reports and approvals, EIA reports and approvals, important contracts, commencement documents, resource ownership documents, monitoring plans/methods, monitoring records, equipment management and calibration files, etc.).</w:t>
      </w:r>
    </w:p>
    <w:p w14:paraId="1CE3C14E">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Documents/information from official channels (government decrees, authoritative statistics, published books or academic papers, official media reports, etc.).</w:t>
      </w:r>
    </w:p>
    <w:p w14:paraId="629C07B6">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CRC's own research or accumulated knowledge.</w:t>
      </w:r>
    </w:p>
    <w:p w14:paraId="75E6BA3A">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Information/opinions from independent research institutions/experts.</w:t>
      </w:r>
    </w:p>
    <w:p w14:paraId="2E68377C">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Evidence/information from other public sources (unofficial statistics, published opinions, media reports, internet information, etc.).</w:t>
      </w:r>
    </w:p>
    <w:p w14:paraId="698206C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Document review includes assessing compliance, consistency, and reliability of evidence, and identifying key points for 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site inspection. Evidence whose truthfulness, authority, or credibility cannot be confirmed shall not be used alone. Forged evidence shall not be used.</w:t>
      </w:r>
    </w:p>
    <w:p w14:paraId="50C96DA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When quantitative data are needed, the priority order for values is:</w:t>
      </w:r>
    </w:p>
    <w:p w14:paraId="271B8639">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Direct monitoring results from meters/instruments.</w:t>
      </w:r>
    </w:p>
    <w:p w14:paraId="06321412">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Data confirmed by two or more parties (e.g., settlement statements, invoices).</w:t>
      </w:r>
    </w:p>
    <w:p w14:paraId="04AE31F7">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Statistical data under the client/responsible party's assurance of truthfulness.</w:t>
      </w:r>
    </w:p>
    <w:p w14:paraId="2C5CEA73">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Data from authoritative sources (yearbooks, etc.).</w:t>
      </w:r>
    </w:p>
    <w:p w14:paraId="26E9EE36">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Data from public sources (papers, industry statistics, etc.).</w:t>
      </w:r>
    </w:p>
    <w:p w14:paraId="66F27D06">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Data from reasonable predictions/estimates.</w:t>
      </w:r>
    </w:p>
    <w:p w14:paraId="464DA04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When multiple data of the same priority exist, choose:</w:t>
      </w:r>
    </w:p>
    <w:p w14:paraId="466046AE">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The more conservative data (i.e., less favourable to the client/responsible party).</w:t>
      </w:r>
    </w:p>
    <w:p w14:paraId="0D08BD9F">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The verifier/auditor's judgment.</w:t>
      </w:r>
    </w:p>
    <w:p w14:paraId="5CBC18E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CRC's validation/verification will, based on collected evidence and necessary analysis/calculation, identify whether the declaration contains material misstatements and assess whether other requirements are met.</w:t>
      </w:r>
    </w:p>
    <w:p w14:paraId="5B1465E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10.1.2.3 On</w:t>
      </w:r>
      <w:r>
        <w:rPr>
          <w:rFonts w:hint="default" w:ascii="Segoe UI" w:hAnsi="Segoe UI" w:eastAsia="Segoe UI" w:cs="Segoe UI"/>
          <w:b/>
          <w:bCs/>
          <w:i w:val="0"/>
          <w:iCs w:val="0"/>
          <w:caps w:val="0"/>
          <w:color w:val="0F1115"/>
          <w:spacing w:val="0"/>
          <w:sz w:val="24"/>
          <w:szCs w:val="24"/>
          <w:shd w:val="clear" w:fill="FFFFFF"/>
        </w:rPr>
        <w:noBreakHyphen/>
      </w:r>
      <w:r>
        <w:rPr>
          <w:rFonts w:hint="default" w:ascii="Segoe UI" w:hAnsi="Segoe UI" w:eastAsia="Segoe UI" w:cs="Segoe UI"/>
          <w:b/>
          <w:bCs/>
          <w:i w:val="0"/>
          <w:iCs w:val="0"/>
          <w:caps w:val="0"/>
          <w:color w:val="0F1115"/>
          <w:spacing w:val="0"/>
          <w:sz w:val="24"/>
          <w:szCs w:val="24"/>
          <w:shd w:val="clear" w:fill="FFFFFF"/>
        </w:rPr>
        <w:t>site inspection</w:t>
      </w:r>
    </w:p>
    <w:p w14:paraId="3F1A41B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site inspection is one of the validation/verification activities. The team shall decide whether to conduct it based on the requirements of the scheme and the actual situation. Sampling may be used depending on the number and distribution of sites, with methods and sample size as per Section 9.3.1.</w:t>
      </w:r>
    </w:p>
    <w:p w14:paraId="47F905A8">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site inspection involves 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site investigation, evidence collection, cross</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checking, judgment, and recalculation to verify the truthfulness, completeness, accuracy, conformity, reasonableness, and operability of the design document/monitoring report. After obtaining consent, copies, records, audio/visual evidence may be retained. The process is:</w:t>
      </w:r>
    </w:p>
    <w:p w14:paraId="4DE8B19D">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Opening meeting, with sign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in record.</w:t>
      </w:r>
    </w:p>
    <w:p w14:paraId="45844823">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Site visits (if needed).</w:t>
      </w:r>
    </w:p>
    <w:p w14:paraId="6FC2FDC5">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Interviews (if needed), with interview records.</w:t>
      </w:r>
    </w:p>
    <w:p w14:paraId="169B8C25">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Review of documentary evidence.</w:t>
      </w:r>
    </w:p>
    <w:p w14:paraId="033E13EA">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Team discussion.</w:t>
      </w:r>
    </w:p>
    <w:p w14:paraId="6D18D9A4">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Closing meeting, with sign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in record.</w:t>
      </w:r>
    </w:p>
    <w:p w14:paraId="75859DC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If 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site inspection is difficult due to unforeseeable or force majeure, the team shall negotiate with the client/responsible party to adjust timing. If still impossible, the team leader shall, with the client's consent, conduct a remote inspection and complete a Remote Inspection Record, with the same requirements as 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site.</w:t>
      </w:r>
    </w:p>
    <w:p w14:paraId="4663484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If the validation/verification is under a mechanism (e.g., A6.4, CCER) with specific 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site requirements, CRC will follow those requirements.</w:t>
      </w:r>
    </w:p>
    <w:p w14:paraId="0828E1F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10.1.2.4 Misstatements and their impact</w:t>
      </w:r>
    </w:p>
    <w:p w14:paraId="379D380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Misstatements include but are not limited to inconsistencies between declarations and evidence/actual conditions; calculation errors; unreasonable assumptions; predictions based on unreasonable assumptions, etc.</w:t>
      </w:r>
    </w:p>
    <w:p w14:paraId="13EEDE8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Impact may be material or immaterial. Material impact means a misstatement, if not corrected, would or would likely lead to misunderstanding by potential users. Immaterial impact means it would not. If the team cannot determine, it shall treat it as material.</w:t>
      </w:r>
    </w:p>
    <w:p w14:paraId="7DAA547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10.1.2.5 Closing of non</w:t>
      </w:r>
      <w:r>
        <w:rPr>
          <w:rFonts w:hint="default" w:ascii="Segoe UI" w:hAnsi="Segoe UI" w:eastAsia="Segoe UI" w:cs="Segoe UI"/>
          <w:b/>
          <w:bCs/>
          <w:i w:val="0"/>
          <w:iCs w:val="0"/>
          <w:caps w:val="0"/>
          <w:color w:val="0F1115"/>
          <w:spacing w:val="0"/>
          <w:sz w:val="24"/>
          <w:szCs w:val="24"/>
          <w:shd w:val="clear" w:fill="FFFFFF"/>
        </w:rPr>
        <w:noBreakHyphen/>
      </w:r>
      <w:r>
        <w:rPr>
          <w:rFonts w:hint="default" w:ascii="Segoe UI" w:hAnsi="Segoe UI" w:eastAsia="Segoe UI" w:cs="Segoe UI"/>
          <w:b/>
          <w:bCs/>
          <w:i w:val="0"/>
          <w:iCs w:val="0"/>
          <w:caps w:val="0"/>
          <w:color w:val="0F1115"/>
          <w:spacing w:val="0"/>
          <w:sz w:val="24"/>
          <w:szCs w:val="24"/>
          <w:shd w:val="clear" w:fill="FFFFFF"/>
        </w:rPr>
        <w:t>conformities</w:t>
      </w:r>
    </w:p>
    <w:p w14:paraId="7AE8BB4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For findings requiring clarification, misstatements, or inconsistencies, the team shall issue a Validation/Verification Non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conformity List. Non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conformities include:</w:t>
      </w:r>
    </w:p>
    <w:p w14:paraId="140C5A6C">
      <w:pPr>
        <w:pStyle w:val="2"/>
        <w:keepNext w:val="0"/>
        <w:keepLines w:val="0"/>
        <w:widowControl/>
        <w:suppressLineNumbers w:val="0"/>
        <w:spacing w:before="0" w:beforeAutospacing="0" w:after="120" w:afterAutospacing="0"/>
        <w:ind w:left="0" w:right="0"/>
      </w:pPr>
      <w:r>
        <w:rPr>
          <w:rFonts w:hint="default" w:ascii="Segoe UI" w:hAnsi="Segoe UI" w:eastAsia="Segoe UI" w:cs="Segoe UI"/>
          <w:i w:val="0"/>
          <w:iCs w:val="0"/>
          <w:caps w:val="0"/>
          <w:color w:val="0F1115"/>
          <w:spacing w:val="0"/>
          <w:sz w:val="24"/>
          <w:szCs w:val="24"/>
          <w:shd w:val="clear" w:fill="FFFFFF"/>
        </w:rPr>
        <w:t>Error – inconsistency between declarations and evidence or actual conditions. The team shall analyse materiality and determine whether it is material or immaterial.</w:t>
      </w:r>
    </w:p>
    <w:p w14:paraId="2D5595AF">
      <w:pPr>
        <w:pStyle w:val="2"/>
        <w:keepNext w:val="0"/>
        <w:keepLines w:val="0"/>
        <w:widowControl/>
        <w:suppressLineNumbers w:val="0"/>
        <w:spacing w:before="12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Note: Non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conformities may have different names in different mechanisms, e.g., under CCER they are collectively "rectification requirements" with subsequent "observation items"; under A6.4 they include CAR, CL, FAR; for organizational emission verification they are called "non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conformities".</w:t>
      </w:r>
    </w:p>
    <w:p w14:paraId="68DF3893">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Clarification – content that cannot be accurately understood or clearly concluded.</w:t>
      </w:r>
    </w:p>
    <w:p w14:paraId="22F3E860">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Supplement – insufficient evidence to support a conclusion, requiring more documents.</w:t>
      </w:r>
    </w:p>
    <w:p w14:paraId="202A8E26">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Follow</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up requirement – matters to be highlighted in future declarations; these do not affect the current statement.</w:t>
      </w:r>
    </w:p>
    <w:p w14:paraId="7E0B2ED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The client/responsible party shall respond to or revise declarations for the first three types. A non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conformity is closed when the team considers the response eliminates the reason for raising it. The validation/verification can continue only after all non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conformities are closed or converted to follow</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up requirements.</w:t>
      </w:r>
    </w:p>
    <w:p w14:paraId="6644BF6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10.1.3 Changes to the plan</w:t>
      </w:r>
    </w:p>
    <w:p w14:paraId="7A1E5A7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If necessary during implementation, changes may be made per Section 9.3.4.</w:t>
      </w:r>
    </w:p>
    <w:p w14:paraId="046D2B9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10.1.4 Completion of activities</w:t>
      </w:r>
    </w:p>
    <w:p w14:paraId="2D73701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Upon completion, CRC will prepare:</w:t>
      </w:r>
    </w:p>
    <w:p w14:paraId="6F1AFA5E">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A summary of results, including background, team, process, timeframe, major findings and handling summary.</w:t>
      </w:r>
    </w:p>
    <w:p w14:paraId="080D100B">
      <w:pPr>
        <w:pStyle w:val="2"/>
        <w:keepNext w:val="0"/>
        <w:keepLines w:val="0"/>
        <w:widowControl/>
        <w:suppressLineNumbers w:val="0"/>
        <w:spacing w:before="0" w:beforeAutospacing="0" w:after="120" w:afterAutospacing="0"/>
        <w:ind w:left="0" w:right="0"/>
      </w:pPr>
      <w:r>
        <w:rPr>
          <w:rFonts w:hint="default" w:ascii="Segoe UI" w:hAnsi="Segoe UI" w:eastAsia="Segoe UI" w:cs="Segoe UI"/>
          <w:i w:val="0"/>
          <w:iCs w:val="0"/>
          <w:caps w:val="0"/>
          <w:color w:val="0F1115"/>
          <w:spacing w:val="0"/>
          <w:sz w:val="24"/>
          <w:szCs w:val="24"/>
          <w:shd w:val="clear" w:fill="FFFFFF"/>
        </w:rPr>
        <w:t>A draft validation/verification statement, containing one of the following opinions:</w:t>
      </w:r>
    </w:p>
    <w:p w14:paraId="02FD773A">
      <w:pPr>
        <w:pStyle w:val="2"/>
        <w:keepNext w:val="0"/>
        <w:keepLines w:val="0"/>
        <w:widowControl/>
        <w:suppressLineNumbers w:val="0"/>
        <w:spacing w:before="12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a) Unmodified opinion – the declaration is fully accurate without correction.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b) Modified opinion – the declaration is confirmed, but contains immaterial misstatements that need to be understood together with the statement.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 Adverse opinion – material misstatements exist and the responsible party refuses to revise, or the team cannot confirm parts/all of the declaration.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d) No opinion – with reasons stated.</w:t>
      </w:r>
    </w:p>
    <w:p w14:paraId="58844AA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When feedback is needed on clarifications or misstatements, the team shall communicate with the client/responsible party and require timely response. If no response within a reasonable time, the team shall inform them and may either (a) issue a qualified/adverse opinion, or (b) terminate the validation/verification without issuing an opinion.</w:t>
      </w:r>
    </w:p>
    <w:p w14:paraId="6E7E64C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For immaterial misstatements, the team shall inform the client/responsible party.</w:t>
      </w:r>
    </w:p>
    <w:p w14:paraId="5A538F9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If under a mechanism (e.g., A6.4, CCER), the opinion type, wording, and subsequent handling shall comply with that mechanism.</w:t>
      </w:r>
    </w:p>
    <w:p w14:paraId="46DE5ED2">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Validation/verification report, when applicable, giving a detailed description of the entire process.</w:t>
      </w:r>
    </w:p>
    <w:p w14:paraId="68D4357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The above may be separate or combined into one document with clear sections. Typically, CRC's validation/verification document is a single report including summary and statement.</w:t>
      </w:r>
    </w:p>
    <w:p w14:paraId="543B472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color w:val="0F1115"/>
          <w:spacing w:val="0"/>
          <w:sz w:val="24"/>
          <w:szCs w:val="24"/>
          <w:shd w:val="clear" w:fill="FFFFFF"/>
        </w:rPr>
        <w:t>Implementation is also subject to the relevant validation/verification scheme.</w:t>
      </w:r>
    </w:p>
    <w:p w14:paraId="6323C5F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11. Review</w:t>
      </w:r>
    </w:p>
    <w:p w14:paraId="1A288CF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Review (also called technical review) is mandatory. The reviewer(s) must not have participated in the planning or implementation of the same validation/verification. Review is normally conducted after implementation and must be completed before the final statement is issued. To facilitate identification and resolution of major issues, review may be performed at any time before issuance.</w:t>
      </w:r>
    </w:p>
    <w:p w14:paraId="571AF9E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11.1 Review process</w:t>
      </w:r>
    </w:p>
    <w:p w14:paraId="6B19D68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When the team leader considers the review conditions met, he/she fills out the Validation/Verification Technical Review Form and submits it, together with all records, to the reviewer. To ensure completeness, the team leader shall ensure that the reviewer has access to all records (including forms, summary, draft statement, report, evidence files, etc.).</w:t>
      </w:r>
    </w:p>
    <w:p w14:paraId="623687C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The reviewer reviews the materials per Section 11.2, fills out the form, and communicates with the team for clarifications. The team shall fully explain to address the reviewer's concerns. The reviewer records findings and returns them to the team leader. The team shall respond to each finding; if necessary, part or all of the validation/verification may need to be repeated.</w:t>
      </w:r>
    </w:p>
    <w:p w14:paraId="242D505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When all review findings are closed, the reviewer (or lead reviewer) writes the review opinion and signs to confirm completion.</w:t>
      </w:r>
    </w:p>
    <w:p w14:paraId="322E855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11.2 Review content</w:t>
      </w:r>
    </w:p>
    <w:p w14:paraId="4927544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The review covers:</w:t>
      </w:r>
    </w:p>
    <w:p w14:paraId="1338967E">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Whether activities have been completed in accordance with the agreement and scheme; whether all required processes and steps have been fulfilled.</w:t>
      </w:r>
    </w:p>
    <w:p w14:paraId="01EE18AF">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Sufficiency and appropriateness of evidence supporting the decision; whether the team evaluated and analysed evidence, and whether the decision is correct based on that evidence.</w:t>
      </w:r>
    </w:p>
    <w:p w14:paraId="3B59F491">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Whether significant findings have been identified, resolved, and documented; especially non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conformities and their resolution, clearly recorded and documented.</w:t>
      </w:r>
    </w:p>
    <w:p w14:paraId="5DAE48C2">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Whether team members possess the required competence; especially whether industry support persons cover all involved industries.</w:t>
      </w:r>
    </w:p>
    <w:p w14:paraId="703DD77C">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Significant decisions made during the process; especially quantitative decisions or those based on quantitative parameters.</w:t>
      </w:r>
    </w:p>
    <w:p w14:paraId="3E0FD16E">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Whether the decision is effectively stated; whether the team clearly provided the decision or clearly stated reasons for not issuing one.</w:t>
      </w:r>
    </w:p>
    <w:p w14:paraId="2277BFD4">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Whether the declaration is complete, fairly presented, and meets relevant standards; if revised, whether the revised declaration has been evaluated.</w:t>
      </w:r>
    </w:p>
    <w:p w14:paraId="66CBBE94">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Whether evidence supporting the statement is sufficient and appropriate; whether collected by the team or provided by the client/responsible party; whether the team evaluated and analysed it; and whether the statement is correct on that basis.</w:t>
      </w:r>
    </w:p>
    <w:p w14:paraId="01E6625B">
      <w:pPr>
        <w:pStyle w:val="2"/>
        <w:keepNext w:val="0"/>
        <w:keepLines w:val="0"/>
        <w:widowControl/>
        <w:suppressLineNumbers w:val="0"/>
        <w:spacing w:before="0" w:beforeAutospacing="0" w:after="0" w:afterAutospacing="0"/>
        <w:ind w:left="0" w:right="0"/>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color w:val="0F1115"/>
          <w:spacing w:val="0"/>
          <w:sz w:val="24"/>
          <w:szCs w:val="24"/>
          <w:shd w:val="clear" w:fill="FFFFFF"/>
        </w:rPr>
        <w:t>For environmental information validation/verification, also confirm that the plan is reasonable, reflecting objectives, scope, materiality (if any), and level of assurance in terms of:</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 Strategic analysis and risk assessment.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(2) Validation/verification plan.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(3) Evidence collection plan.</w:t>
      </w:r>
    </w:p>
    <w:p w14:paraId="1A8F66E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12. Decision and Issuance of Validation/Verification Statement</w:t>
      </w:r>
    </w:p>
    <w:p w14:paraId="6F688C0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12.1 Decision</w:t>
      </w:r>
    </w:p>
    <w:p w14:paraId="03BA176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12.1.1 Types of decision</w:t>
      </w:r>
    </w:p>
    <w:p w14:paraId="61B71B1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Decision refers to whether CRC confirms the declaration made by the client/responsible party (initial version or revised after non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conformities). CRC makes decisions in accordance with the applicable scheme, as follows:</w:t>
      </w:r>
    </w:p>
    <w:p w14:paraId="5B5E039F">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Agree/disagree with the team's opinion.</w:t>
      </w:r>
    </w:p>
    <w:p w14:paraId="0FF90E89">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Issue/not issue the validation/verification statement.</w:t>
      </w:r>
    </w:p>
    <w:p w14:paraId="3DC12B9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12.1.2 Making the decision</w:t>
      </w:r>
    </w:p>
    <w:p w14:paraId="648A0F1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The decision is made by an opinion decision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maker who has not participated in the planning or implementation of this validation/verification. Decisions can only be made after review is completed.</w:t>
      </w:r>
    </w:p>
    <w:p w14:paraId="5AE1EB8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The opinion decision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maker uses the Validation/Verification Statement Decision Form.</w:t>
      </w:r>
    </w:p>
    <w:p w14:paraId="31AB2B5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Based on the decision and the scheme, CRC will issue or not issue the statement. If not issued, CRC will notify the client using a Notice of Non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issuance.</w:t>
      </w:r>
    </w:p>
    <w:p w14:paraId="3583CEE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12.2 Level of assurance</w:t>
      </w:r>
    </w:p>
    <w:p w14:paraId="64E8350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In accordance with the relevant scheme, CRC provides a level of assurance for the decision, with three levels:</w:t>
      </w:r>
    </w:p>
    <w:p w14:paraId="486F4614">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Absolute assurance – 100% confidence. Means that after validation/verification, CRC confirms that the information, data, and evidence are absolutely true and accurate, and quantitative information can be cross</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verified by two or more methods, with no errors or different choices. This is extremely stringent and rarely occurs. For absolute assurance, the technical reviewer and opinion decision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maker shall not be the same person.</w:t>
      </w:r>
    </w:p>
    <w:p w14:paraId="3DCDA748">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Reasonable assurance – high but not absolute confidence (over 90% cross</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verification; uncertainty/error/tolerances ≤10%).</w:t>
      </w:r>
    </w:p>
    <w:p w14:paraId="012A00CF">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Limited assurance – all other cases.</w:t>
      </w:r>
    </w:p>
    <w:p w14:paraId="2FB01E6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CRC provides assurance only for decisions under Article 12.1.1 (1) and (2) (unmodified and modified opinions).</w:t>
      </w:r>
    </w:p>
    <w:p w14:paraId="0F810EC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If under a mechanism (e.g., A6.4, CCER), the level of assurance shall comply with that mechanism.</w:t>
      </w:r>
    </w:p>
    <w:p w14:paraId="0EDA6E2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12.3 Materiality threshold</w:t>
      </w:r>
    </w:p>
    <w:p w14:paraId="5009F48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In accordance with the scheme and client requirements, CRC's decision may include a materiality threshold (percentage). Requirements:</w:t>
      </w:r>
    </w:p>
    <w:p w14:paraId="0FAE8A23">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Client</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proposed threshold (quantitative or qualitative). For quantitative, the team shall aim for cumulative impact of all errors/uncertainties ≤ threshold; for qualitative, meet the threshold.</w:t>
      </w:r>
    </w:p>
    <w:p w14:paraId="0A393325">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5% – cumulative impact ≤5%.</w:t>
      </w:r>
    </w:p>
    <w:p w14:paraId="5CB46756">
      <w:pPr>
        <w:pStyle w:val="2"/>
        <w:keepNext w:val="0"/>
        <w:keepLines w:val="0"/>
        <w:widowControl/>
        <w:suppressLineNumbers w:val="0"/>
        <w:spacing w:before="0" w:beforeAutospacing="0" w:after="0" w:afterAutospacing="0"/>
        <w:ind w:left="0" w:right="0"/>
        <w:rPr>
          <w:rFonts w:hint="default" w:ascii="Segoe UI" w:hAnsi="Segoe UI" w:eastAsia="Segoe UI" w:cs="Segoe UI"/>
          <w:i w:val="0"/>
          <w:iCs w:val="0"/>
          <w:caps w:val="0"/>
          <w:color w:val="0F1115"/>
          <w:spacing w:val="0"/>
          <w:sz w:val="24"/>
          <w:szCs w:val="24"/>
          <w:shd w:val="clear" w:fill="FFFFFF"/>
        </w:rPr>
      </w:pPr>
      <w:r>
        <w:rPr>
          <w:rFonts w:hint="default" w:ascii="Segoe UI" w:hAnsi="Segoe UI" w:eastAsia="Segoe UI" w:cs="Segoe UI"/>
          <w:i w:val="0"/>
          <w:iCs w:val="0"/>
          <w:caps w:val="0"/>
          <w:color w:val="0F1115"/>
          <w:spacing w:val="0"/>
          <w:sz w:val="24"/>
          <w:szCs w:val="24"/>
          <w:shd w:val="clear" w:fill="FFFFFF"/>
        </w:rPr>
        <w:t>10% – cumulative impact ≤10%.</w:t>
      </w:r>
    </w:p>
    <w:p w14:paraId="4CD22293">
      <w:pPr>
        <w:pStyle w:val="2"/>
        <w:keepNext w:val="0"/>
        <w:keepLines w:val="0"/>
        <w:widowControl/>
        <w:suppressLineNumbers w:val="0"/>
        <w:spacing w:before="0" w:beforeAutospacing="0" w:after="0" w:afterAutospacing="0"/>
        <w:ind w:left="0" w:right="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The decision may omit the threshold. Selection shall follow the relevant scheme.</w:t>
      </w:r>
    </w:p>
    <w:p w14:paraId="4A0335F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If under a mechanism (e.g., A6.4, CCER), the materiality threshold shall comply with that mechanism.</w:t>
      </w:r>
    </w:p>
    <w:p w14:paraId="57D2704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12.4 Issuance of the statement</w:t>
      </w:r>
    </w:p>
    <w:p w14:paraId="414467F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If issued, the statement shall include:</w:t>
      </w:r>
    </w:p>
    <w:p w14:paraId="57BC62BC">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Name of client/responsible party.</w:t>
      </w:r>
    </w:p>
    <w:p w14:paraId="7290B194">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Clearly stated as validation statement or verification statement.</w:t>
      </w:r>
    </w:p>
    <w:p w14:paraId="2F6047CA">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The declaration, including its time and coverage period; for validation, the valid period; for verification, the historical period covered.</w:t>
      </w:r>
    </w:p>
    <w:p w14:paraId="67795DC2">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The type of CRC's role (first</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party, second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party, or third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party).</w:t>
      </w:r>
    </w:p>
    <w:p w14:paraId="40F3C4DC">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CRC's name and address (if used in the mark, not misleading).</w:t>
      </w:r>
    </w:p>
    <w:p w14:paraId="7EEF956F">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Purpose and scope.</w:t>
      </w:r>
    </w:p>
    <w:p w14:paraId="3EFC9EE1">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Reference to the validation/verification scheme and relevant specific requirements.</w:t>
      </w:r>
    </w:p>
    <w:p w14:paraId="7AA0DBEC">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The decision on the declaration, and conformity with scheme requirements (e.g., materiality or assurance level). For modified decisions, clearly state the modification, reasons, and impact; if quantitative, state the value of the misstatement and its impact. For negative decisions, state reasons.</w:t>
      </w:r>
    </w:p>
    <w:p w14:paraId="4336DC7F">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Date and unique statement identifier (usually the statement or report number; numbering follows the scheme).</w:t>
      </w:r>
    </w:p>
    <w:p w14:paraId="63800F00">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Any findings not addressed before issuance, as required by the scheme.</w:t>
      </w:r>
    </w:p>
    <w:p w14:paraId="2CB55B6B">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If the statement includes a mix of assumptions, projections, and historical information, the validation and verification statements may be in one document, also including:</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 Identification of the activity (organization, project, or product).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(2) Identification of the responsible party.</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(3) Statement that responsibility for the environmental information statement belongs to the responsible party.</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(4) Criteria agreed between the client/responsible party and CRC for preparing the environmental information statement.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(5) Criteria used for validation/verification.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(6) When the statement includes future projections, an explanation that actual results may differ because assumptions may change.</w:t>
      </w:r>
    </w:p>
    <w:p w14:paraId="4720A892">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CRC's legal declaration, including commitment to compliance, truthfulness, and accuracy.</w:t>
      </w:r>
    </w:p>
    <w:p w14:paraId="69306DF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The statement shall be signed by the General Manager.</w:t>
      </w:r>
    </w:p>
    <w:p w14:paraId="0370827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It shall be sent to the client in a non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editable format via reliable means (email, mail, network, paper, etc.). If under a mechanism (e.g., A6.4, CCER), it shall be sent to other relevant parties as required.</w:t>
      </w:r>
    </w:p>
    <w:p w14:paraId="5884D23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color w:val="0F1115"/>
          <w:spacing w:val="0"/>
          <w:sz w:val="24"/>
          <w:szCs w:val="24"/>
          <w:shd w:val="clear" w:fill="FFFFFF"/>
        </w:rPr>
        <w:t>Issuance shall also follow the applicable validation/verification scheme.</w:t>
      </w:r>
    </w:p>
    <w:p w14:paraId="2E43424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13. Post</w:t>
      </w:r>
      <w:r>
        <w:rPr>
          <w:rFonts w:hint="default" w:ascii="Segoe UI" w:hAnsi="Segoe UI" w:eastAsia="Segoe UI" w:cs="Segoe UI"/>
          <w:b/>
          <w:bCs/>
          <w:i w:val="0"/>
          <w:iCs w:val="0"/>
          <w:caps w:val="0"/>
          <w:color w:val="0F1115"/>
          <w:spacing w:val="0"/>
          <w:sz w:val="24"/>
          <w:szCs w:val="24"/>
          <w:shd w:val="clear" w:fill="FFFFFF"/>
        </w:rPr>
        <w:noBreakHyphen/>
      </w:r>
      <w:r>
        <w:rPr>
          <w:rFonts w:hint="default" w:ascii="Segoe UI" w:hAnsi="Segoe UI" w:eastAsia="Segoe UI" w:cs="Segoe UI"/>
          <w:b/>
          <w:bCs/>
          <w:i w:val="0"/>
          <w:iCs w:val="0"/>
          <w:caps w:val="0"/>
          <w:color w:val="0F1115"/>
          <w:spacing w:val="0"/>
          <w:sz w:val="24"/>
          <w:szCs w:val="24"/>
          <w:shd w:val="clear" w:fill="FFFFFF"/>
        </w:rPr>
        <w:t>issuance Factual Findings</w:t>
      </w:r>
    </w:p>
    <w:p w14:paraId="744DD18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13.1 Factual findings and actions</w:t>
      </w:r>
    </w:p>
    <w:p w14:paraId="363CF2B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After issuance, new factual findings may arise (new laws, new evidence, etc.) from CRC, the client/responsible party, or any third party.</w:t>
      </w:r>
    </w:p>
    <w:p w14:paraId="24B9086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Upon learning of any factual finding, CRC shall:</w:t>
      </w:r>
    </w:p>
    <w:p w14:paraId="1EF9DFED">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The first knower reports to the project manager.</w:t>
      </w:r>
    </w:p>
    <w:p w14:paraId="1C59C3FC">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The project manager communicates with the client/responsible party (if the finding is not from them) to inform them of the finding and CRC's subsequent process.</w:t>
      </w:r>
    </w:p>
    <w:p w14:paraId="21BFFFBA">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The project manager changes the status of the validation/verification project file to "post</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issuance suspended", regardless of whether it is public. CRC will inform all relevant parties (including the scheme's competent authority, if any) that the new finding may compromise the credibility of the original statement and that adjustments may be made.</w:t>
      </w:r>
    </w:p>
    <w:p w14:paraId="42AD227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13.2 Re</w:t>
      </w:r>
      <w:r>
        <w:rPr>
          <w:rFonts w:hint="default" w:ascii="Segoe UI" w:hAnsi="Segoe UI" w:eastAsia="Segoe UI" w:cs="Segoe UI"/>
          <w:b/>
          <w:bCs/>
          <w:i w:val="0"/>
          <w:iCs w:val="0"/>
          <w:caps w:val="0"/>
          <w:color w:val="0F1115"/>
          <w:spacing w:val="0"/>
          <w:sz w:val="24"/>
          <w:szCs w:val="24"/>
          <w:shd w:val="clear" w:fill="FFFFFF"/>
        </w:rPr>
        <w:noBreakHyphen/>
      </w:r>
      <w:r>
        <w:rPr>
          <w:rFonts w:hint="default" w:ascii="Segoe UI" w:hAnsi="Segoe UI" w:eastAsia="Segoe UI" w:cs="Segoe UI"/>
          <w:b/>
          <w:bCs/>
          <w:i w:val="0"/>
          <w:iCs w:val="0"/>
          <w:caps w:val="0"/>
          <w:color w:val="0F1115"/>
          <w:spacing w:val="0"/>
          <w:sz w:val="24"/>
          <w:szCs w:val="24"/>
          <w:shd w:val="clear" w:fill="FFFFFF"/>
        </w:rPr>
        <w:t>evaluation and decision</w:t>
      </w:r>
    </w:p>
    <w:p w14:paraId="458910F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For any post</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issuance finding, CRC follows this process:</w:t>
      </w:r>
    </w:p>
    <w:p w14:paraId="7E1F4802">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The project manager assigns work per Section 9.1.1, usually to the original team and reviewers; if not possible, reassign.</w:t>
      </w:r>
    </w:p>
    <w:p w14:paraId="336B8CBD">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The reassigned team first evaluates the finding.</w:t>
      </w:r>
    </w:p>
    <w:p w14:paraId="586FECA2">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If, after evaluation and review, the finding does not materially affect the issued statement, the team leader fills out the Statement Change Record, and after review, the opinion decision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maker signs a decision not to change the statement.</w:t>
      </w:r>
    </w:p>
    <w:p w14:paraId="00DFFB41">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If it materially affects the statement, the team follows Sections 9.2 to 11 to complete re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validation/verification and amend the original statement (including summary, report, etc.). The team leader fills out the Statement Change Record, and after review, the opinion decision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maker signs a decision to change or withdraw the statement.</w:t>
      </w:r>
    </w:p>
    <w:p w14:paraId="40B817B2">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Based on 3) or 4), the project manager notifies all relevant parties (client/responsible party, competent authority, etc.) and completes follow</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up. For 3), the original statement is restored and the status updated to "post</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issuance restored"; for 4), the new statement is provided and the old one replaced, or withdrawal is notified, with status updated to "post</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issuance changed" or "post</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issuance withdrawn".</w:t>
      </w:r>
    </w:p>
    <w:p w14:paraId="1E925556">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If one year after the status change to "post</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issuance suspended" the re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evaluation and decision are not completed, it is deemed impossible, and CRC will notify withdrawal of the original statement and update the status accordingly.</w:t>
      </w:r>
    </w:p>
    <w:p w14:paraId="70971048">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color w:val="0F1115"/>
          <w:spacing w:val="0"/>
          <w:sz w:val="24"/>
          <w:szCs w:val="24"/>
          <w:shd w:val="clear" w:fill="FFFFFF"/>
        </w:rPr>
        <w:t>If under a mechanism (e.g., A6.4, CCER), the handling shall comply with that mechanism.</w:t>
      </w:r>
    </w:p>
    <w:p w14:paraId="1A8E4FD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14. Feedback Handling</w:t>
      </w:r>
    </w:p>
    <w:p w14:paraId="66A078A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color w:val="0F1115"/>
          <w:spacing w:val="0"/>
          <w:sz w:val="24"/>
          <w:szCs w:val="24"/>
          <w:shd w:val="clear" w:fill="FFFFFF"/>
        </w:rPr>
        <w:t>For any feedback (not including litigation or complaints) raised by the client/responsible party during validation/verification, the project manager shall use the Client Feedback Handling Form to investigate, and the General Manager makes a decision based on the results and informs the client/responsible party.</w:t>
      </w:r>
    </w:p>
    <w:p w14:paraId="372D8CA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15. Appeal Handling</w:t>
      </w:r>
    </w:p>
    <w:p w14:paraId="00AD905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color w:val="0F1115"/>
          <w:spacing w:val="0"/>
          <w:sz w:val="24"/>
          <w:szCs w:val="24"/>
          <w:shd w:val="clear" w:fill="FFFFFF"/>
        </w:rPr>
        <w:t>Appeals are handled in accordance with the "Complaint, Appeal and Dispute Handling Procedure" (CRC-QP-G06).</w:t>
      </w:r>
    </w:p>
    <w:p w14:paraId="32B42A7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16. Complaint Handling</w:t>
      </w:r>
    </w:p>
    <w:p w14:paraId="514E71B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color w:val="0F1115"/>
          <w:spacing w:val="0"/>
          <w:sz w:val="24"/>
          <w:szCs w:val="24"/>
          <w:shd w:val="clear" w:fill="FFFFFF"/>
        </w:rPr>
        <w:t>Complaints are handled in accordance with the "Complaint, Appeal and Dispute Handling Procedure" (CRC-QP-G06).</w:t>
      </w:r>
    </w:p>
    <w:p w14:paraId="038FD59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17. Records</w:t>
      </w:r>
    </w:p>
    <w:p w14:paraId="67B5C8E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CRC will keep and manage records related to validation and verification, including but not limited to:</w:t>
      </w:r>
    </w:p>
    <w:p w14:paraId="0E95E726">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Validation/Verification Project File.</w:t>
      </w:r>
    </w:p>
    <w:p w14:paraId="7416639B">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Validation/Verification Service Application Form, Validation/Verification Service Application Review Form.</w:t>
      </w:r>
    </w:p>
    <w:p w14:paraId="16860880">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Validation/Verification Contract or Internal Agreement.</w:t>
      </w:r>
    </w:p>
    <w:p w14:paraId="0607E279">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Validation/Verification Work Assignment Form.</w:t>
      </w:r>
    </w:p>
    <w:p w14:paraId="377E59C8">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Validation/Verification Plan (external).</w:t>
      </w:r>
    </w:p>
    <w:p w14:paraId="4AF946D9">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Validation/Verification Plan Change Record (if any).</w:t>
      </w:r>
    </w:p>
    <w:p w14:paraId="7F70509C">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Opening Meeting Sign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in Record, Closing Meeting Sign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in Record, Personnel Interview Record.</w:t>
      </w:r>
    </w:p>
    <w:p w14:paraId="4BEA54CA">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Remote Inspection Record (if any).</w:t>
      </w:r>
    </w:p>
    <w:p w14:paraId="40DA161F">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Validation/Verification Non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conformity List and closure process.</w:t>
      </w:r>
    </w:p>
    <w:p w14:paraId="7DD5E0B3">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Validation/Verification Technical Review Form.</w:t>
      </w:r>
    </w:p>
    <w:p w14:paraId="552F4CDE">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Validation/Verification Statement Decision Form and statement, Notice of Non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issuance (if any).</w:t>
      </w:r>
    </w:p>
    <w:p w14:paraId="5D6F67F3">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Validation/Verification Statement Change Record (if any).</w:t>
      </w:r>
    </w:p>
    <w:p w14:paraId="54D7701F">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Client Feedback Handling Form (if any), complaints and appeals, and resulting corrections and corrective actions.</w:t>
      </w:r>
    </w:p>
    <w:p w14:paraId="34A44F0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If under a mechanism (e.g., A6.4, CCER), these records shall use the templates/format specified by that mechanism; if not specified, CRC will use its own forms.</w:t>
      </w:r>
    </w:p>
    <w:p w14:paraId="1FDF20E8">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CRC will ensure the security and confidentiality of validation/verification records during collection, collation, and handover.</w:t>
      </w:r>
    </w:p>
    <w:p w14:paraId="61F27DC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color w:val="0F1115"/>
          <w:spacing w:val="0"/>
          <w:sz w:val="24"/>
          <w:szCs w:val="24"/>
          <w:shd w:val="clear" w:fill="FFFFFF"/>
        </w:rPr>
        <w:t>The management of validation and verification records follows the "Quality Records and Archive Management Procedure" (CRC-QP-G03).</w:t>
      </w:r>
    </w:p>
    <w:p w14:paraId="52BB9C5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Annex 1: Method for Determining Man</w:t>
      </w:r>
      <w:r>
        <w:rPr>
          <w:rFonts w:hint="default" w:ascii="Segoe UI" w:hAnsi="Segoe UI" w:eastAsia="Segoe UI" w:cs="Segoe UI"/>
          <w:b/>
          <w:bCs/>
          <w:i w:val="0"/>
          <w:iCs w:val="0"/>
          <w:caps w:val="0"/>
          <w:color w:val="0F1115"/>
          <w:spacing w:val="0"/>
          <w:sz w:val="24"/>
          <w:szCs w:val="24"/>
          <w:shd w:val="clear" w:fill="FFFFFF"/>
        </w:rPr>
        <w:noBreakHyphen/>
      </w:r>
      <w:r>
        <w:rPr>
          <w:rFonts w:hint="default" w:ascii="Segoe UI" w:hAnsi="Segoe UI" w:eastAsia="Segoe UI" w:cs="Segoe UI"/>
          <w:b/>
          <w:bCs/>
          <w:i w:val="0"/>
          <w:iCs w:val="0"/>
          <w:caps w:val="0"/>
          <w:color w:val="0F1115"/>
          <w:spacing w:val="0"/>
          <w:sz w:val="24"/>
          <w:szCs w:val="24"/>
          <w:shd w:val="clear" w:fill="FFFFFF"/>
        </w:rPr>
        <w:t>days for GHG Quantitative Declarations</w:t>
      </w:r>
    </w:p>
    <w:p w14:paraId="6C4E483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General Provisions</w:t>
      </w:r>
    </w:p>
    <w:p w14:paraId="37BD979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To standardise the estimation and determination of man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days for validation and verification of GHG quantitative declarations (hereinafter "GHG declarations") carried out by Zhongsheng Deshang Inspection &amp; Certification (Chengdu) Co., LTD. (hereinafter "Zhongsheng Certification"), these detailed rules are formulated.</w:t>
      </w:r>
    </w:p>
    <w:p w14:paraId="4EF82D7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Scope and Referenced Documents</w:t>
      </w:r>
    </w:p>
    <w:p w14:paraId="0F4B277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Scope</w:t>
      </w:r>
    </w:p>
    <w:p w14:paraId="455451A7">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These rules apply to the estimation of man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days for the acceptance stage of GHG declaration validation/verification.</w:t>
      </w:r>
    </w:p>
    <w:p w14:paraId="44462B7D">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These rules apply to the accurate calculation and determination of 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site man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days for the planning stage.</w:t>
      </w:r>
    </w:p>
    <w:p w14:paraId="3EBE4E3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b/>
          <w:bCs/>
          <w:i w:val="0"/>
          <w:iCs w:val="0"/>
          <w:caps w:val="0"/>
          <w:color w:val="0F1115"/>
          <w:spacing w:val="0"/>
          <w:sz w:val="24"/>
          <w:szCs w:val="24"/>
          <w:shd w:val="clear" w:fill="FFFFFF"/>
        </w:rPr>
      </w:pPr>
      <w:r>
        <w:rPr>
          <w:rFonts w:hint="default" w:ascii="Segoe UI" w:hAnsi="Segoe UI" w:eastAsia="Segoe UI" w:cs="Segoe UI"/>
          <w:b/>
          <w:bCs/>
          <w:i w:val="0"/>
          <w:iCs w:val="0"/>
          <w:caps w:val="0"/>
          <w:color w:val="0F1115"/>
          <w:spacing w:val="0"/>
          <w:sz w:val="24"/>
          <w:szCs w:val="24"/>
          <w:shd w:val="clear" w:fill="FFFFFF"/>
        </w:rPr>
        <w:t>Referenced Documents</w:t>
      </w:r>
    </w:p>
    <w:p w14:paraId="51EA90DA">
      <w:pPr>
        <w:pStyle w:val="2"/>
        <w:keepNext w:val="0"/>
        <w:keepLines w:val="0"/>
        <w:widowControl/>
        <w:suppressLineNumbers w:val="0"/>
        <w:shd w:val="clear" w:fill="FFFFFF"/>
        <w:spacing w:before="240" w:beforeAutospacing="0" w:after="240" w:afterAutospacing="0"/>
        <w:ind w:left="0" w:right="0" w:firstLine="0"/>
      </w:pPr>
      <w:r>
        <w:rPr>
          <w:rFonts w:hint="default" w:ascii="Segoe UI" w:hAnsi="Segoe UI" w:eastAsia="Segoe UI" w:cs="Segoe UI"/>
          <w:i w:val="0"/>
          <w:iCs w:val="0"/>
          <w:caps w:val="0"/>
          <w:color w:val="0F1115"/>
          <w:spacing w:val="0"/>
          <w:sz w:val="24"/>
          <w:szCs w:val="24"/>
          <w:shd w:val="clear" w:fill="FFFFFF"/>
        </w:rPr>
        <w:t>CNAS-CV01:2022 Conformity assessment – General principles and requirements for validation and verification bodies (ISO/ICE 17029:2019)</w:t>
      </w:r>
    </w:p>
    <w:p w14:paraId="0276CD1F">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CNAS-CV02:2022 General principles and requirements for environmental information validation and verification bodies (ISO 14065:2020)</w:t>
      </w:r>
    </w:p>
    <w:p w14:paraId="4E2918A5">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CNAS-CV03:2022 Greenhouse gases – Part 3: Specification with guidance for the validation and verification of greenhouse gas statements (ISO 14064</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3:2019)</w:t>
      </w:r>
    </w:p>
    <w:p w14:paraId="635DA734">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CNAS-CV04: IAF Mandatory Document on Application of ISO 14065:2020</w:t>
      </w:r>
    </w:p>
    <w:p w14:paraId="36FD72C5">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CNAS-CV05:2022 Competence requirements for greenhouse gas validation and verification teams (ISO 14066:2011)</w:t>
      </w:r>
    </w:p>
    <w:p w14:paraId="19D0788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Estimation of Man</w:t>
      </w:r>
      <w:r>
        <w:rPr>
          <w:rFonts w:hint="default" w:ascii="Segoe UI" w:hAnsi="Segoe UI" w:eastAsia="Segoe UI" w:cs="Segoe UI"/>
          <w:b/>
          <w:bCs/>
          <w:i w:val="0"/>
          <w:iCs w:val="0"/>
          <w:caps w:val="0"/>
          <w:color w:val="0F1115"/>
          <w:spacing w:val="0"/>
          <w:sz w:val="24"/>
          <w:szCs w:val="24"/>
          <w:shd w:val="clear" w:fill="FFFFFF"/>
        </w:rPr>
        <w:noBreakHyphen/>
      </w:r>
      <w:r>
        <w:rPr>
          <w:rFonts w:hint="default" w:ascii="Segoe UI" w:hAnsi="Segoe UI" w:eastAsia="Segoe UI" w:cs="Segoe UI"/>
          <w:b/>
          <w:bCs/>
          <w:i w:val="0"/>
          <w:iCs w:val="0"/>
          <w:caps w:val="0"/>
          <w:color w:val="0F1115"/>
          <w:spacing w:val="0"/>
          <w:sz w:val="24"/>
          <w:szCs w:val="24"/>
          <w:shd w:val="clear" w:fill="FFFFFF"/>
        </w:rPr>
        <w:t>days</w:t>
      </w:r>
    </w:p>
    <w:p w14:paraId="08CBEED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Estimation of baseline man</w:t>
      </w:r>
      <w:r>
        <w:rPr>
          <w:rFonts w:hint="default" w:ascii="Segoe UI" w:hAnsi="Segoe UI" w:eastAsia="Segoe UI" w:cs="Segoe UI"/>
          <w:b/>
          <w:bCs/>
          <w:i w:val="0"/>
          <w:iCs w:val="0"/>
          <w:caps w:val="0"/>
          <w:color w:val="0F1115"/>
          <w:spacing w:val="0"/>
          <w:sz w:val="24"/>
          <w:szCs w:val="24"/>
          <w:shd w:val="clear" w:fill="FFFFFF"/>
        </w:rPr>
        <w:noBreakHyphen/>
      </w:r>
      <w:r>
        <w:rPr>
          <w:rFonts w:hint="default" w:ascii="Segoe UI" w:hAnsi="Segoe UI" w:eastAsia="Segoe UI" w:cs="Segoe UI"/>
          <w:b/>
          <w:bCs/>
          <w:i w:val="0"/>
          <w:iCs w:val="0"/>
          <w:caps w:val="0"/>
          <w:color w:val="0F1115"/>
          <w:spacing w:val="0"/>
          <w:sz w:val="24"/>
          <w:szCs w:val="24"/>
          <w:shd w:val="clear" w:fill="FFFFFF"/>
        </w:rPr>
        <w:t>days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Based on information in the Application Review Form, reviewers shall make an initial estimate of verification man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days. This estimate is the baseline man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days for a default materiality threshold of 5% (quantitative) and a level of assurance of "reasonable assurance".</w:t>
      </w:r>
    </w:p>
    <w:p w14:paraId="5173584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The verification man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days are determined by the complexity of the GHG declaration and the scale of the responsible party, considering the following factors:</w:t>
      </w:r>
    </w:p>
    <w:p w14:paraId="3859CFE7">
      <w:pPr>
        <w:pStyle w:val="2"/>
        <w:keepNext w:val="0"/>
        <w:keepLines w:val="0"/>
        <w:widowControl/>
        <w:suppressLineNumbers w:val="0"/>
        <w:spacing w:before="0" w:beforeAutospacing="0" w:after="120" w:afterAutospacing="0"/>
        <w:ind w:left="0" w:right="0"/>
      </w:pPr>
      <w:r>
        <w:rPr>
          <w:rFonts w:hint="default" w:ascii="Segoe UI" w:hAnsi="Segoe UI" w:eastAsia="Segoe UI" w:cs="Segoe UI"/>
          <w:b/>
          <w:bCs/>
          <w:i w:val="0"/>
          <w:iCs w:val="0"/>
          <w:caps w:val="0"/>
          <w:color w:val="0F1115"/>
          <w:spacing w:val="0"/>
          <w:sz w:val="24"/>
          <w:szCs w:val="24"/>
          <w:shd w:val="clear" w:fill="FFFFFF"/>
        </w:rPr>
        <w:t>Scale of GHG declaration</w:t>
      </w:r>
    </w:p>
    <w:p w14:paraId="22286236">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High: annual total &gt;50,000 tCO₂e; or complex products with &gt;50 parts → baseline 4 man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days.</w:t>
      </w:r>
    </w:p>
    <w:p w14:paraId="6A1BCA2D">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Medium: 20,000</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50,000 tCO₂e; or 20</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50 parts → baseline 3 man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days.</w:t>
      </w:r>
    </w:p>
    <w:p w14:paraId="43DF050D">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Low: &lt;20,000 tCO₂e; or &lt;20 parts → baseline 2 man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days.</w:t>
      </w:r>
    </w:p>
    <w:p w14:paraId="37075F4D">
      <w:pPr>
        <w:pStyle w:val="2"/>
        <w:keepNext w:val="0"/>
        <w:keepLines w:val="0"/>
        <w:widowControl/>
        <w:suppressLineNumbers w:val="0"/>
        <w:spacing w:before="0" w:beforeAutospacing="0" w:after="120" w:afterAutospacing="0"/>
        <w:ind w:left="0" w:right="0"/>
      </w:pPr>
      <w:r>
        <w:rPr>
          <w:rFonts w:hint="default" w:ascii="Segoe UI" w:hAnsi="Segoe UI" w:eastAsia="Segoe UI" w:cs="Segoe UI"/>
          <w:b/>
          <w:bCs/>
          <w:i w:val="0"/>
          <w:iCs w:val="0"/>
          <w:caps w:val="0"/>
          <w:color w:val="0F1115"/>
          <w:spacing w:val="0"/>
          <w:sz w:val="24"/>
          <w:szCs w:val="24"/>
          <w:shd w:val="clear" w:fill="FFFFFF"/>
        </w:rPr>
        <w:t>Energy composition</w:t>
      </w:r>
    </w:p>
    <w:p w14:paraId="3EBA1F17">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Three or more types (including fossil and non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fossil, with at least two fossil) → +2 man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days.</w:t>
      </w:r>
    </w:p>
    <w:p w14:paraId="3E6E1BC7">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Two types (including fossil and non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fossil, but fossil only as auxiliary) → +1 man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day.</w:t>
      </w:r>
    </w:p>
    <w:p w14:paraId="2A0BF592">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Single type (if fossil, clear source) → +0.</w:t>
      </w:r>
    </w:p>
    <w:p w14:paraId="66867216">
      <w:pPr>
        <w:pStyle w:val="2"/>
        <w:keepNext w:val="0"/>
        <w:keepLines w:val="0"/>
        <w:widowControl/>
        <w:suppressLineNumbers w:val="0"/>
        <w:spacing w:before="0" w:beforeAutospacing="0" w:after="120" w:afterAutospacing="0"/>
        <w:ind w:left="0" w:right="0"/>
      </w:pPr>
      <w:r>
        <w:rPr>
          <w:rFonts w:hint="default" w:ascii="Segoe UI" w:hAnsi="Segoe UI" w:eastAsia="Segoe UI" w:cs="Segoe UI"/>
          <w:b/>
          <w:bCs/>
          <w:i w:val="0"/>
          <w:iCs w:val="0"/>
          <w:caps w:val="0"/>
          <w:color w:val="0F1115"/>
          <w:spacing w:val="0"/>
          <w:sz w:val="24"/>
          <w:szCs w:val="24"/>
          <w:shd w:val="clear" w:fill="FFFFFF"/>
        </w:rPr>
        <w:t>Implementation of GHG control documents</w:t>
      </w:r>
    </w:p>
    <w:p w14:paraId="03BC3ECC">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No documented control measures → +1 man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day.</w:t>
      </w:r>
    </w:p>
    <w:p w14:paraId="0F6E9A28">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Documented measures → +0.</w:t>
      </w:r>
    </w:p>
    <w:p w14:paraId="684EDFFB">
      <w:pPr>
        <w:pStyle w:val="2"/>
        <w:keepNext w:val="0"/>
        <w:keepLines w:val="0"/>
        <w:widowControl/>
        <w:suppressLineNumbers w:val="0"/>
        <w:spacing w:before="0" w:beforeAutospacing="0" w:after="120" w:afterAutospacing="0"/>
        <w:ind w:left="0" w:right="0"/>
      </w:pPr>
      <w:r>
        <w:rPr>
          <w:rFonts w:hint="default" w:ascii="Segoe UI" w:hAnsi="Segoe UI" w:eastAsia="Segoe UI" w:cs="Segoe UI"/>
          <w:b/>
          <w:bCs/>
          <w:i w:val="0"/>
          <w:iCs w:val="0"/>
          <w:caps w:val="0"/>
          <w:color w:val="0F1115"/>
          <w:spacing w:val="0"/>
          <w:sz w:val="24"/>
          <w:szCs w:val="24"/>
          <w:shd w:val="clear" w:fill="FFFFFF"/>
        </w:rPr>
        <w:t>Number of personnel and sites</w:t>
      </w:r>
    </w:p>
    <w:p w14:paraId="2AD4D74B">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Three or more temporary and/or three or more permanent sites → +2 man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days.</w:t>
      </w:r>
    </w:p>
    <w:p w14:paraId="703A3D37">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Two temporary and/or two permanent sites → +1 man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day.</w:t>
      </w:r>
    </w:p>
    <w:p w14:paraId="57035828">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Single site → +0.</w:t>
      </w:r>
    </w:p>
    <w:p w14:paraId="0378A40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Sum of the above gives estimated man</w:t>
      </w:r>
      <w:r>
        <w:rPr>
          <w:rFonts w:hint="default" w:ascii="Segoe UI" w:hAnsi="Segoe UI" w:eastAsia="Segoe UI" w:cs="Segoe UI"/>
          <w:b/>
          <w:bCs/>
          <w:i w:val="0"/>
          <w:iCs w:val="0"/>
          <w:caps w:val="0"/>
          <w:color w:val="0F1115"/>
          <w:spacing w:val="0"/>
          <w:sz w:val="24"/>
          <w:szCs w:val="24"/>
          <w:shd w:val="clear" w:fill="FFFFFF"/>
        </w:rPr>
        <w:noBreakHyphen/>
      </w:r>
      <w:r>
        <w:rPr>
          <w:rFonts w:hint="default" w:ascii="Segoe UI" w:hAnsi="Segoe UI" w:eastAsia="Segoe UI" w:cs="Segoe UI"/>
          <w:b/>
          <w:bCs/>
          <w:i w:val="0"/>
          <w:iCs w:val="0"/>
          <w:caps w:val="0"/>
          <w:color w:val="0F1115"/>
          <w:spacing w:val="0"/>
          <w:sz w:val="24"/>
          <w:szCs w:val="24"/>
          <w:shd w:val="clear" w:fill="FFFFFF"/>
        </w:rPr>
        <w:t>days.</w:t>
      </w:r>
    </w:p>
    <w:p w14:paraId="4120C36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Example: Enterprise A has annual emissions of 30,000 tCO₂e; fossil energy as auxiliary; no documented control process; two fixed sites → estimated baseline = 3+1+1+1 = 6 man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days.</w:t>
      </w:r>
    </w:p>
    <w:p w14:paraId="17D23CC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Reduction of man</w:t>
      </w:r>
      <w:r>
        <w:rPr>
          <w:rFonts w:hint="default" w:ascii="Segoe UI" w:hAnsi="Segoe UI" w:eastAsia="Segoe UI" w:cs="Segoe UI"/>
          <w:b/>
          <w:bCs/>
          <w:i w:val="0"/>
          <w:iCs w:val="0"/>
          <w:caps w:val="0"/>
          <w:color w:val="0F1115"/>
          <w:spacing w:val="0"/>
          <w:sz w:val="24"/>
          <w:szCs w:val="24"/>
          <w:shd w:val="clear" w:fill="FFFFFF"/>
        </w:rPr>
        <w:noBreakHyphen/>
      </w:r>
      <w:r>
        <w:rPr>
          <w:rFonts w:hint="default" w:ascii="Segoe UI" w:hAnsi="Segoe UI" w:eastAsia="Segoe UI" w:cs="Segoe UI"/>
          <w:b/>
          <w:bCs/>
          <w:i w:val="0"/>
          <w:iCs w:val="0"/>
          <w:caps w:val="0"/>
          <w:color w:val="0F1115"/>
          <w:spacing w:val="0"/>
          <w:sz w:val="24"/>
          <w:szCs w:val="24"/>
          <w:shd w:val="clear" w:fill="FFFFFF"/>
        </w:rPr>
        <w:t>days</w:t>
      </w:r>
    </w:p>
    <w:p w14:paraId="5D8FBD0A">
      <w:pPr>
        <w:pStyle w:val="2"/>
        <w:keepNext w:val="0"/>
        <w:keepLines w:val="0"/>
        <w:widowControl/>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When the level of assurance is "limited assurance", reduce by one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third (round up to the nearest 0.5 day).</w:t>
      </w:r>
    </w:p>
    <w:p w14:paraId="02E9E4D5">
      <w:pPr>
        <w:pStyle w:val="2"/>
        <w:keepNext w:val="0"/>
        <w:keepLines w:val="0"/>
        <w:widowControl/>
        <w:suppressLineNumbers w:val="0"/>
        <w:spacing w:before="0" w:beforeAutospacing="0" w:after="0" w:afterAutospacing="0"/>
        <w:ind w:left="0" w:right="0"/>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color w:val="0F1115"/>
          <w:spacing w:val="0"/>
          <w:sz w:val="24"/>
          <w:szCs w:val="24"/>
          <w:shd w:val="clear" w:fill="FFFFFF"/>
        </w:rPr>
        <w:t>When the materiality threshold decreases, reduce by 0.5 man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day for each 5% reduction.</w:t>
      </w:r>
    </w:p>
    <w:p w14:paraId="1D76476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Annex 2: Man</w:t>
      </w:r>
      <w:r>
        <w:rPr>
          <w:rFonts w:hint="default" w:ascii="Segoe UI" w:hAnsi="Segoe UI" w:eastAsia="Segoe UI" w:cs="Segoe UI"/>
          <w:b/>
          <w:bCs/>
          <w:i w:val="0"/>
          <w:iCs w:val="0"/>
          <w:caps w:val="0"/>
          <w:color w:val="0F1115"/>
          <w:spacing w:val="0"/>
          <w:sz w:val="24"/>
          <w:szCs w:val="24"/>
          <w:shd w:val="clear" w:fill="FFFFFF"/>
        </w:rPr>
        <w:noBreakHyphen/>
      </w:r>
      <w:r>
        <w:rPr>
          <w:rFonts w:hint="default" w:ascii="Segoe UI" w:hAnsi="Segoe UI" w:eastAsia="Segoe UI" w:cs="Segoe UI"/>
          <w:b/>
          <w:bCs/>
          <w:i w:val="0"/>
          <w:iCs w:val="0"/>
          <w:caps w:val="0"/>
          <w:color w:val="0F1115"/>
          <w:spacing w:val="0"/>
          <w:sz w:val="24"/>
          <w:szCs w:val="24"/>
          <w:shd w:val="clear" w:fill="FFFFFF"/>
        </w:rPr>
        <w:t>day Calculation Table</w:t>
      </w:r>
    </w:p>
    <w:tbl>
      <w:tblPr>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720"/>
        <w:gridCol w:w="2223"/>
        <w:gridCol w:w="2559"/>
        <w:gridCol w:w="1539"/>
        <w:gridCol w:w="1520"/>
      </w:tblGrid>
      <w:tr w14:paraId="21D87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jc w:val="center"/>
        </w:trPr>
        <w:tc>
          <w:tcPr>
            <w:tcW w:w="406" w:type="pct"/>
            <w:tcBorders>
              <w:top w:val="single" w:color="auto" w:sz="12" w:space="0"/>
              <w:left w:val="single" w:color="auto" w:sz="12" w:space="0"/>
              <w:bottom w:val="nil"/>
              <w:right w:val="nil"/>
            </w:tcBorders>
            <w:shd w:val="clear"/>
            <w:noWrap w:val="0"/>
            <w:tcMar>
              <w:top w:w="150" w:type="dxa"/>
              <w:left w:w="-1" w:type="dxa"/>
              <w:bottom w:w="150" w:type="dxa"/>
              <w:right w:w="240" w:type="dxa"/>
            </w:tcMar>
            <w:vAlign w:val="center"/>
          </w:tcPr>
          <w:p w14:paraId="31906D29">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b/>
                <w:sz w:val="22"/>
                <w:szCs w:val="22"/>
              </w:rPr>
            </w:pPr>
            <w:r>
              <w:rPr>
                <w:rFonts w:hint="default" w:ascii="Segoe UI" w:hAnsi="Segoe UI" w:eastAsia="Segoe UI" w:cs="Segoe UI"/>
                <w:b/>
                <w:kern w:val="0"/>
                <w:sz w:val="22"/>
                <w:szCs w:val="22"/>
                <w:bdr w:val="none" w:color="auto" w:sz="0" w:space="0"/>
                <w:lang w:val="en-US" w:eastAsia="zh-CN" w:bidi="ar"/>
              </w:rPr>
              <w:t>Step</w:t>
            </w:r>
          </w:p>
        </w:tc>
        <w:tc>
          <w:tcPr>
            <w:tcW w:w="1301" w:type="pct"/>
            <w:tcBorders>
              <w:top w:val="single" w:color="auto" w:sz="12" w:space="0"/>
              <w:left w:val="single" w:color="auto" w:sz="4" w:space="0"/>
              <w:bottom w:val="nil"/>
              <w:right w:val="nil"/>
            </w:tcBorders>
            <w:shd w:val="clear"/>
            <w:noWrap w:val="0"/>
            <w:tcMar>
              <w:top w:w="150" w:type="dxa"/>
              <w:left w:w="240" w:type="dxa"/>
              <w:bottom w:w="150" w:type="dxa"/>
              <w:right w:w="240" w:type="dxa"/>
            </w:tcMar>
            <w:vAlign w:val="center"/>
          </w:tcPr>
          <w:p w14:paraId="346BE8D1">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b/>
                <w:sz w:val="22"/>
                <w:szCs w:val="22"/>
              </w:rPr>
            </w:pPr>
            <w:r>
              <w:rPr>
                <w:rFonts w:hint="default" w:ascii="Segoe UI" w:hAnsi="Segoe UI" w:eastAsia="Segoe UI" w:cs="Segoe UI"/>
                <w:b/>
                <w:kern w:val="0"/>
                <w:sz w:val="22"/>
                <w:szCs w:val="22"/>
                <w:bdr w:val="none" w:color="auto" w:sz="0" w:space="0"/>
                <w:lang w:val="en-US" w:eastAsia="zh-CN" w:bidi="ar"/>
              </w:rPr>
              <w:t>Name</w:t>
            </w:r>
          </w:p>
        </w:tc>
        <w:tc>
          <w:tcPr>
            <w:tcW w:w="1497" w:type="pct"/>
            <w:tcBorders>
              <w:top w:val="single" w:color="auto" w:sz="12" w:space="0"/>
              <w:left w:val="single" w:color="auto" w:sz="4" w:space="0"/>
              <w:bottom w:val="nil"/>
              <w:right w:val="nil"/>
            </w:tcBorders>
            <w:shd w:val="clear"/>
            <w:noWrap w:val="0"/>
            <w:tcMar>
              <w:top w:w="150" w:type="dxa"/>
              <w:left w:w="240" w:type="dxa"/>
              <w:bottom w:w="150" w:type="dxa"/>
              <w:right w:w="240" w:type="dxa"/>
            </w:tcMar>
            <w:vAlign w:val="center"/>
          </w:tcPr>
          <w:p w14:paraId="1F775855">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b/>
                <w:sz w:val="22"/>
                <w:szCs w:val="22"/>
              </w:rPr>
            </w:pPr>
            <w:r>
              <w:rPr>
                <w:rFonts w:hint="default" w:ascii="Segoe UI" w:hAnsi="Segoe UI" w:eastAsia="Segoe UI" w:cs="Segoe UI"/>
                <w:b/>
                <w:kern w:val="0"/>
                <w:sz w:val="22"/>
                <w:szCs w:val="22"/>
                <w:bdr w:val="none" w:color="auto" w:sz="0" w:space="0"/>
                <w:lang w:val="en-US" w:eastAsia="zh-CN" w:bidi="ar"/>
              </w:rPr>
              <w:t>Sub</w:t>
            </w:r>
            <w:r>
              <w:rPr>
                <w:rFonts w:hint="default" w:ascii="Segoe UI" w:hAnsi="Segoe UI" w:eastAsia="Segoe UI" w:cs="Segoe UI"/>
                <w:b/>
                <w:kern w:val="0"/>
                <w:sz w:val="22"/>
                <w:szCs w:val="22"/>
                <w:bdr w:val="none" w:color="auto" w:sz="0" w:space="0"/>
                <w:lang w:val="en-US" w:eastAsia="zh-CN" w:bidi="ar"/>
              </w:rPr>
              <w:noBreakHyphen/>
            </w:r>
            <w:r>
              <w:rPr>
                <w:rFonts w:hint="default" w:ascii="Segoe UI" w:hAnsi="Segoe UI" w:eastAsia="Segoe UI" w:cs="Segoe UI"/>
                <w:b/>
                <w:kern w:val="0"/>
                <w:sz w:val="22"/>
                <w:szCs w:val="22"/>
                <w:bdr w:val="none" w:color="auto" w:sz="0" w:space="0"/>
                <w:lang w:val="en-US" w:eastAsia="zh-CN" w:bidi="ar"/>
              </w:rPr>
              <w:t>item</w:t>
            </w:r>
          </w:p>
        </w:tc>
        <w:tc>
          <w:tcPr>
            <w:tcW w:w="902" w:type="pct"/>
            <w:tcBorders>
              <w:top w:val="single" w:color="auto" w:sz="12" w:space="0"/>
              <w:left w:val="single" w:color="auto" w:sz="4" w:space="0"/>
              <w:bottom w:val="nil"/>
              <w:right w:val="nil"/>
            </w:tcBorders>
            <w:shd w:val="clear"/>
            <w:noWrap w:val="0"/>
            <w:tcMar>
              <w:top w:w="150" w:type="dxa"/>
              <w:left w:w="240" w:type="dxa"/>
              <w:bottom w:w="150" w:type="dxa"/>
              <w:right w:w="240" w:type="dxa"/>
            </w:tcMar>
            <w:vAlign w:val="center"/>
          </w:tcPr>
          <w:p w14:paraId="2617D543">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b/>
                <w:sz w:val="22"/>
                <w:szCs w:val="22"/>
              </w:rPr>
            </w:pPr>
            <w:r>
              <w:rPr>
                <w:rFonts w:hint="default" w:ascii="Segoe UI" w:hAnsi="Segoe UI" w:eastAsia="Segoe UI" w:cs="Segoe UI"/>
                <w:b/>
                <w:kern w:val="0"/>
                <w:sz w:val="22"/>
                <w:szCs w:val="22"/>
                <w:bdr w:val="none" w:color="auto" w:sz="0" w:space="0"/>
                <w:lang w:val="en-US" w:eastAsia="zh-CN" w:bidi="ar"/>
              </w:rPr>
              <w:t>Score</w:t>
            </w:r>
          </w:p>
        </w:tc>
        <w:tc>
          <w:tcPr>
            <w:tcW w:w="891" w:type="pct"/>
            <w:tcBorders>
              <w:top w:val="single" w:color="auto" w:sz="12" w:space="0"/>
              <w:left w:val="single" w:color="auto" w:sz="4" w:space="0"/>
              <w:bottom w:val="nil"/>
              <w:right w:val="single" w:color="auto" w:sz="12" w:space="0"/>
            </w:tcBorders>
            <w:shd w:val="clear"/>
            <w:noWrap w:val="0"/>
            <w:tcMar>
              <w:top w:w="150" w:type="dxa"/>
              <w:left w:w="240" w:type="dxa"/>
              <w:bottom w:w="150" w:type="dxa"/>
              <w:right w:w="240" w:type="dxa"/>
            </w:tcMar>
            <w:vAlign w:val="center"/>
          </w:tcPr>
          <w:p w14:paraId="366AB79E">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b/>
                <w:sz w:val="22"/>
                <w:szCs w:val="22"/>
              </w:rPr>
            </w:pPr>
            <w:r>
              <w:rPr>
                <w:rFonts w:hint="default" w:ascii="Segoe UI" w:hAnsi="Segoe UI" w:eastAsia="Segoe UI" w:cs="Segoe UI"/>
                <w:b/>
                <w:kern w:val="0"/>
                <w:sz w:val="22"/>
                <w:szCs w:val="22"/>
                <w:bdr w:val="none" w:color="auto" w:sz="0" w:space="0"/>
                <w:lang w:val="en-US" w:eastAsia="zh-CN" w:bidi="ar"/>
              </w:rPr>
              <w:t>Points</w:t>
            </w:r>
          </w:p>
        </w:tc>
      </w:tr>
      <w:tr w14:paraId="15A95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406"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4FB42638">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Step 1</w:t>
            </w:r>
          </w:p>
        </w:tc>
        <w:tc>
          <w:tcPr>
            <w:tcW w:w="1301"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44CC9D48">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Number of emission sources</w:t>
            </w:r>
          </w:p>
        </w:tc>
        <w:tc>
          <w:tcPr>
            <w:tcW w:w="1497"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7D4CC8B2">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1</w:t>
            </w:r>
            <w:r>
              <w:rPr>
                <w:rFonts w:hint="default" w:ascii="Segoe UI" w:hAnsi="Segoe UI" w:eastAsia="Segoe UI" w:cs="Segoe UI"/>
                <w:kern w:val="0"/>
                <w:sz w:val="22"/>
                <w:szCs w:val="22"/>
                <w:bdr w:val="none" w:color="auto" w:sz="0" w:space="0"/>
                <w:lang w:val="en-US" w:eastAsia="zh-CN" w:bidi="ar"/>
              </w:rPr>
              <w:noBreakHyphen/>
            </w:r>
            <w:r>
              <w:rPr>
                <w:rFonts w:hint="default" w:ascii="Segoe UI" w:hAnsi="Segoe UI" w:eastAsia="Segoe UI" w:cs="Segoe UI"/>
                <w:kern w:val="0"/>
                <w:sz w:val="22"/>
                <w:szCs w:val="22"/>
                <w:bdr w:val="none" w:color="auto" w:sz="0" w:space="0"/>
                <w:lang w:val="en-US" w:eastAsia="zh-CN" w:bidi="ar"/>
              </w:rPr>
              <w:t>3</w:t>
            </w:r>
          </w:p>
        </w:tc>
        <w:tc>
          <w:tcPr>
            <w:tcW w:w="90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29CC650E">
            <w:pPr>
              <w:keepNext/>
              <w:keepLines w:val="0"/>
              <w:widowControl/>
              <w:suppressLineNumbers w:val="0"/>
              <w:snapToGrid w:val="0"/>
              <w:spacing w:line="240" w:lineRule="auto"/>
              <w:ind w:left="0" w:leftChars="0" w:right="0" w:rightChars="0" w:firstLine="0" w:firstLineChars="0"/>
              <w:jc w:val="righ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1</w:t>
            </w:r>
          </w:p>
        </w:tc>
        <w:tc>
          <w:tcPr>
            <w:tcW w:w="891"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65AB0C0F">
            <w:pPr>
              <w:keepNext/>
              <w:snapToGrid w:val="0"/>
              <w:ind w:left="0" w:leftChars="0" w:right="0" w:rightChars="0" w:firstLine="0" w:firstLineChars="0"/>
              <w:jc w:val="center"/>
              <w:rPr>
                <w:rFonts w:hint="default" w:ascii="Segoe UI" w:hAnsi="Segoe UI" w:eastAsia="Segoe UI" w:cs="Segoe UI"/>
                <w:sz w:val="22"/>
                <w:szCs w:val="22"/>
              </w:rPr>
            </w:pPr>
          </w:p>
        </w:tc>
      </w:tr>
      <w:tr w14:paraId="13276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406"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208A8541">
            <w:pPr>
              <w:keepNext/>
              <w:snapToGrid w:val="0"/>
              <w:ind w:left="0" w:leftChars="0" w:right="0" w:rightChars="0" w:firstLine="0" w:firstLineChars="0"/>
              <w:jc w:val="center"/>
              <w:rPr>
                <w:rFonts w:hint="default" w:ascii="Segoe UI" w:hAnsi="Segoe UI" w:eastAsia="Segoe UI" w:cs="Segoe UI"/>
                <w:sz w:val="22"/>
                <w:szCs w:val="22"/>
              </w:rPr>
            </w:pPr>
          </w:p>
        </w:tc>
        <w:tc>
          <w:tcPr>
            <w:tcW w:w="1301"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6B47F137">
            <w:pPr>
              <w:keepNext/>
              <w:snapToGrid w:val="0"/>
              <w:ind w:left="0" w:leftChars="0" w:right="0" w:rightChars="0" w:firstLine="0" w:firstLineChars="0"/>
              <w:jc w:val="center"/>
              <w:rPr>
                <w:rFonts w:hint="default" w:ascii="Segoe UI" w:hAnsi="Segoe UI" w:eastAsia="Segoe UI" w:cs="Segoe UI"/>
                <w:sz w:val="22"/>
                <w:szCs w:val="22"/>
              </w:rPr>
            </w:pPr>
          </w:p>
        </w:tc>
        <w:tc>
          <w:tcPr>
            <w:tcW w:w="1497"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79D67342">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3</w:t>
            </w:r>
            <w:r>
              <w:rPr>
                <w:rFonts w:hint="default" w:ascii="Segoe UI" w:hAnsi="Segoe UI" w:eastAsia="Segoe UI" w:cs="Segoe UI"/>
                <w:kern w:val="0"/>
                <w:sz w:val="22"/>
                <w:szCs w:val="22"/>
                <w:bdr w:val="none" w:color="auto" w:sz="0" w:space="0"/>
                <w:lang w:val="en-US" w:eastAsia="zh-CN" w:bidi="ar"/>
              </w:rPr>
              <w:noBreakHyphen/>
            </w:r>
            <w:r>
              <w:rPr>
                <w:rFonts w:hint="default" w:ascii="Segoe UI" w:hAnsi="Segoe UI" w:eastAsia="Segoe UI" w:cs="Segoe UI"/>
                <w:kern w:val="0"/>
                <w:sz w:val="22"/>
                <w:szCs w:val="22"/>
                <w:bdr w:val="none" w:color="auto" w:sz="0" w:space="0"/>
                <w:lang w:val="en-US" w:eastAsia="zh-CN" w:bidi="ar"/>
              </w:rPr>
              <w:t>6</w:t>
            </w:r>
          </w:p>
        </w:tc>
        <w:tc>
          <w:tcPr>
            <w:tcW w:w="90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65DF70D3">
            <w:pPr>
              <w:keepNext/>
              <w:keepLines w:val="0"/>
              <w:widowControl/>
              <w:suppressLineNumbers w:val="0"/>
              <w:snapToGrid w:val="0"/>
              <w:spacing w:line="240" w:lineRule="auto"/>
              <w:ind w:left="0" w:leftChars="0" w:right="0" w:rightChars="0" w:firstLine="0" w:firstLineChars="0"/>
              <w:jc w:val="righ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2</w:t>
            </w:r>
          </w:p>
        </w:tc>
        <w:tc>
          <w:tcPr>
            <w:tcW w:w="891"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6F3564B9">
            <w:pPr>
              <w:keepNext/>
              <w:snapToGrid w:val="0"/>
              <w:ind w:left="0" w:leftChars="0" w:right="0" w:rightChars="0" w:firstLine="0" w:firstLineChars="0"/>
              <w:jc w:val="center"/>
              <w:rPr>
                <w:rFonts w:hint="default" w:ascii="Segoe UI" w:hAnsi="Segoe UI" w:eastAsia="Segoe UI" w:cs="Segoe UI"/>
                <w:sz w:val="22"/>
                <w:szCs w:val="22"/>
              </w:rPr>
            </w:pPr>
          </w:p>
        </w:tc>
      </w:tr>
      <w:tr w14:paraId="4B78D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406"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1B923DB2">
            <w:pPr>
              <w:keepNext/>
              <w:snapToGrid w:val="0"/>
              <w:ind w:left="0" w:leftChars="0" w:right="0" w:rightChars="0" w:firstLine="0" w:firstLineChars="0"/>
              <w:jc w:val="center"/>
              <w:rPr>
                <w:rFonts w:hint="default" w:ascii="Segoe UI" w:hAnsi="Segoe UI" w:eastAsia="Segoe UI" w:cs="Segoe UI"/>
                <w:sz w:val="22"/>
                <w:szCs w:val="22"/>
              </w:rPr>
            </w:pPr>
          </w:p>
        </w:tc>
        <w:tc>
          <w:tcPr>
            <w:tcW w:w="1301"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483C88BE">
            <w:pPr>
              <w:keepNext/>
              <w:snapToGrid w:val="0"/>
              <w:ind w:left="0" w:leftChars="0" w:right="0" w:rightChars="0" w:firstLine="0" w:firstLineChars="0"/>
              <w:jc w:val="center"/>
              <w:rPr>
                <w:rFonts w:hint="default" w:ascii="Segoe UI" w:hAnsi="Segoe UI" w:eastAsia="Segoe UI" w:cs="Segoe UI"/>
                <w:sz w:val="22"/>
                <w:szCs w:val="22"/>
              </w:rPr>
            </w:pPr>
          </w:p>
        </w:tc>
        <w:tc>
          <w:tcPr>
            <w:tcW w:w="1497"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35E53FA3">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&gt;6</w:t>
            </w:r>
          </w:p>
        </w:tc>
        <w:tc>
          <w:tcPr>
            <w:tcW w:w="90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54806DE5">
            <w:pPr>
              <w:keepNext/>
              <w:keepLines w:val="0"/>
              <w:widowControl/>
              <w:suppressLineNumbers w:val="0"/>
              <w:snapToGrid w:val="0"/>
              <w:spacing w:line="240" w:lineRule="auto"/>
              <w:ind w:left="0" w:leftChars="0" w:right="0" w:rightChars="0" w:firstLine="0" w:firstLineChars="0"/>
              <w:jc w:val="righ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3</w:t>
            </w:r>
          </w:p>
        </w:tc>
        <w:tc>
          <w:tcPr>
            <w:tcW w:w="891"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242892E2">
            <w:pPr>
              <w:keepNext/>
              <w:snapToGrid w:val="0"/>
              <w:ind w:left="0" w:leftChars="0" w:right="0" w:rightChars="0" w:firstLine="0" w:firstLineChars="0"/>
              <w:jc w:val="center"/>
              <w:rPr>
                <w:rFonts w:hint="default" w:ascii="Segoe UI" w:hAnsi="Segoe UI" w:eastAsia="Segoe UI" w:cs="Segoe UI"/>
                <w:sz w:val="22"/>
                <w:szCs w:val="22"/>
              </w:rPr>
            </w:pPr>
          </w:p>
        </w:tc>
      </w:tr>
      <w:tr w14:paraId="706F3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406"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186B65A1">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Step 2</w:t>
            </w:r>
          </w:p>
        </w:tc>
        <w:tc>
          <w:tcPr>
            <w:tcW w:w="1301"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07ACA994">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Number of source streams</w:t>
            </w:r>
          </w:p>
        </w:tc>
        <w:tc>
          <w:tcPr>
            <w:tcW w:w="1497"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424E5859">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1</w:t>
            </w:r>
            <w:r>
              <w:rPr>
                <w:rFonts w:hint="default" w:ascii="Segoe UI" w:hAnsi="Segoe UI" w:eastAsia="Segoe UI" w:cs="Segoe UI"/>
                <w:kern w:val="0"/>
                <w:sz w:val="22"/>
                <w:szCs w:val="22"/>
                <w:bdr w:val="none" w:color="auto" w:sz="0" w:space="0"/>
                <w:lang w:val="en-US" w:eastAsia="zh-CN" w:bidi="ar"/>
              </w:rPr>
              <w:noBreakHyphen/>
            </w:r>
            <w:r>
              <w:rPr>
                <w:rFonts w:hint="default" w:ascii="Segoe UI" w:hAnsi="Segoe UI" w:eastAsia="Segoe UI" w:cs="Segoe UI"/>
                <w:kern w:val="0"/>
                <w:sz w:val="22"/>
                <w:szCs w:val="22"/>
                <w:bdr w:val="none" w:color="auto" w:sz="0" w:space="0"/>
                <w:lang w:val="en-US" w:eastAsia="zh-CN" w:bidi="ar"/>
              </w:rPr>
              <w:t>3</w:t>
            </w:r>
          </w:p>
        </w:tc>
        <w:tc>
          <w:tcPr>
            <w:tcW w:w="90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5963A832">
            <w:pPr>
              <w:keepNext/>
              <w:keepLines w:val="0"/>
              <w:widowControl/>
              <w:suppressLineNumbers w:val="0"/>
              <w:snapToGrid w:val="0"/>
              <w:spacing w:line="240" w:lineRule="auto"/>
              <w:ind w:left="0" w:leftChars="0" w:right="0" w:rightChars="0" w:firstLine="0" w:firstLineChars="0"/>
              <w:jc w:val="righ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1</w:t>
            </w:r>
          </w:p>
        </w:tc>
        <w:tc>
          <w:tcPr>
            <w:tcW w:w="891"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0284A19C">
            <w:pPr>
              <w:keepNext/>
              <w:snapToGrid w:val="0"/>
              <w:ind w:left="0" w:leftChars="0" w:right="0" w:rightChars="0" w:firstLine="0" w:firstLineChars="0"/>
              <w:jc w:val="center"/>
              <w:rPr>
                <w:rFonts w:hint="default" w:ascii="Segoe UI" w:hAnsi="Segoe UI" w:eastAsia="Segoe UI" w:cs="Segoe UI"/>
                <w:sz w:val="22"/>
                <w:szCs w:val="22"/>
              </w:rPr>
            </w:pPr>
          </w:p>
        </w:tc>
      </w:tr>
      <w:tr w14:paraId="29E0F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406"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21891076">
            <w:pPr>
              <w:keepNext/>
              <w:snapToGrid w:val="0"/>
              <w:ind w:left="0" w:leftChars="0" w:right="0" w:rightChars="0" w:firstLine="0" w:firstLineChars="0"/>
              <w:jc w:val="center"/>
              <w:rPr>
                <w:rFonts w:hint="default" w:ascii="Segoe UI" w:hAnsi="Segoe UI" w:eastAsia="Segoe UI" w:cs="Segoe UI"/>
                <w:sz w:val="22"/>
                <w:szCs w:val="22"/>
              </w:rPr>
            </w:pPr>
          </w:p>
        </w:tc>
        <w:tc>
          <w:tcPr>
            <w:tcW w:w="1301"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2DA78ADD">
            <w:pPr>
              <w:keepNext/>
              <w:snapToGrid w:val="0"/>
              <w:ind w:left="0" w:leftChars="0" w:right="0" w:rightChars="0" w:firstLine="0" w:firstLineChars="0"/>
              <w:jc w:val="center"/>
              <w:rPr>
                <w:rFonts w:hint="default" w:ascii="Segoe UI" w:hAnsi="Segoe UI" w:eastAsia="Segoe UI" w:cs="Segoe UI"/>
                <w:sz w:val="22"/>
                <w:szCs w:val="22"/>
              </w:rPr>
            </w:pPr>
          </w:p>
        </w:tc>
        <w:tc>
          <w:tcPr>
            <w:tcW w:w="1497"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4E0A10F6">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3</w:t>
            </w:r>
            <w:r>
              <w:rPr>
                <w:rFonts w:hint="default" w:ascii="Segoe UI" w:hAnsi="Segoe UI" w:eastAsia="Segoe UI" w:cs="Segoe UI"/>
                <w:kern w:val="0"/>
                <w:sz w:val="22"/>
                <w:szCs w:val="22"/>
                <w:bdr w:val="none" w:color="auto" w:sz="0" w:space="0"/>
                <w:lang w:val="en-US" w:eastAsia="zh-CN" w:bidi="ar"/>
              </w:rPr>
              <w:noBreakHyphen/>
            </w:r>
            <w:r>
              <w:rPr>
                <w:rFonts w:hint="default" w:ascii="Segoe UI" w:hAnsi="Segoe UI" w:eastAsia="Segoe UI" w:cs="Segoe UI"/>
                <w:kern w:val="0"/>
                <w:sz w:val="22"/>
                <w:szCs w:val="22"/>
                <w:bdr w:val="none" w:color="auto" w:sz="0" w:space="0"/>
                <w:lang w:val="en-US" w:eastAsia="zh-CN" w:bidi="ar"/>
              </w:rPr>
              <w:t>6</w:t>
            </w:r>
          </w:p>
        </w:tc>
        <w:tc>
          <w:tcPr>
            <w:tcW w:w="90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30C5C871">
            <w:pPr>
              <w:keepNext/>
              <w:keepLines w:val="0"/>
              <w:widowControl/>
              <w:suppressLineNumbers w:val="0"/>
              <w:snapToGrid w:val="0"/>
              <w:spacing w:line="240" w:lineRule="auto"/>
              <w:ind w:left="0" w:leftChars="0" w:right="0" w:rightChars="0" w:firstLine="0" w:firstLineChars="0"/>
              <w:jc w:val="righ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2</w:t>
            </w:r>
          </w:p>
        </w:tc>
        <w:tc>
          <w:tcPr>
            <w:tcW w:w="891"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239E661B">
            <w:pPr>
              <w:keepNext/>
              <w:snapToGrid w:val="0"/>
              <w:ind w:left="0" w:leftChars="0" w:right="0" w:rightChars="0" w:firstLine="0" w:firstLineChars="0"/>
              <w:jc w:val="center"/>
              <w:rPr>
                <w:rFonts w:hint="default" w:ascii="Segoe UI" w:hAnsi="Segoe UI" w:eastAsia="Segoe UI" w:cs="Segoe UI"/>
                <w:sz w:val="22"/>
                <w:szCs w:val="22"/>
              </w:rPr>
            </w:pPr>
          </w:p>
        </w:tc>
      </w:tr>
      <w:tr w14:paraId="6EE07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406"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47E07A07">
            <w:pPr>
              <w:keepNext/>
              <w:snapToGrid w:val="0"/>
              <w:ind w:left="0" w:leftChars="0" w:right="0" w:rightChars="0" w:firstLine="0" w:firstLineChars="0"/>
              <w:jc w:val="center"/>
              <w:rPr>
                <w:rFonts w:hint="default" w:ascii="Segoe UI" w:hAnsi="Segoe UI" w:eastAsia="Segoe UI" w:cs="Segoe UI"/>
                <w:sz w:val="22"/>
                <w:szCs w:val="22"/>
              </w:rPr>
            </w:pPr>
          </w:p>
        </w:tc>
        <w:tc>
          <w:tcPr>
            <w:tcW w:w="1301"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78D7B61A">
            <w:pPr>
              <w:keepNext/>
              <w:snapToGrid w:val="0"/>
              <w:ind w:left="0" w:leftChars="0" w:right="0" w:rightChars="0" w:firstLine="0" w:firstLineChars="0"/>
              <w:jc w:val="center"/>
              <w:rPr>
                <w:rFonts w:hint="default" w:ascii="Segoe UI" w:hAnsi="Segoe UI" w:eastAsia="Segoe UI" w:cs="Segoe UI"/>
                <w:sz w:val="22"/>
                <w:szCs w:val="22"/>
              </w:rPr>
            </w:pPr>
          </w:p>
        </w:tc>
        <w:tc>
          <w:tcPr>
            <w:tcW w:w="1497"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3E389F31">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6</w:t>
            </w:r>
            <w:r>
              <w:rPr>
                <w:rFonts w:hint="default" w:ascii="Segoe UI" w:hAnsi="Segoe UI" w:eastAsia="Segoe UI" w:cs="Segoe UI"/>
                <w:kern w:val="0"/>
                <w:sz w:val="22"/>
                <w:szCs w:val="22"/>
                <w:bdr w:val="none" w:color="auto" w:sz="0" w:space="0"/>
                <w:lang w:val="en-US" w:eastAsia="zh-CN" w:bidi="ar"/>
              </w:rPr>
              <w:noBreakHyphen/>
            </w:r>
            <w:r>
              <w:rPr>
                <w:rFonts w:hint="default" w:ascii="Segoe UI" w:hAnsi="Segoe UI" w:eastAsia="Segoe UI" w:cs="Segoe UI"/>
                <w:kern w:val="0"/>
                <w:sz w:val="22"/>
                <w:szCs w:val="22"/>
                <w:bdr w:val="none" w:color="auto" w:sz="0" w:space="0"/>
                <w:lang w:val="en-US" w:eastAsia="zh-CN" w:bidi="ar"/>
              </w:rPr>
              <w:t>9</w:t>
            </w:r>
          </w:p>
        </w:tc>
        <w:tc>
          <w:tcPr>
            <w:tcW w:w="90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19DD0EFE">
            <w:pPr>
              <w:keepNext/>
              <w:keepLines w:val="0"/>
              <w:widowControl/>
              <w:suppressLineNumbers w:val="0"/>
              <w:snapToGrid w:val="0"/>
              <w:spacing w:line="240" w:lineRule="auto"/>
              <w:ind w:left="0" w:leftChars="0" w:right="0" w:rightChars="0" w:firstLine="0" w:firstLineChars="0"/>
              <w:jc w:val="righ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5</w:t>
            </w:r>
          </w:p>
        </w:tc>
        <w:tc>
          <w:tcPr>
            <w:tcW w:w="891"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657E191C">
            <w:pPr>
              <w:keepNext/>
              <w:snapToGrid w:val="0"/>
              <w:ind w:left="0" w:leftChars="0" w:right="0" w:rightChars="0" w:firstLine="0" w:firstLineChars="0"/>
              <w:jc w:val="center"/>
              <w:rPr>
                <w:rFonts w:hint="default" w:ascii="Segoe UI" w:hAnsi="Segoe UI" w:eastAsia="Segoe UI" w:cs="Segoe UI"/>
                <w:sz w:val="22"/>
                <w:szCs w:val="22"/>
              </w:rPr>
            </w:pPr>
          </w:p>
        </w:tc>
      </w:tr>
      <w:tr w14:paraId="05DD5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406"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46795310">
            <w:pPr>
              <w:keepNext/>
              <w:snapToGrid w:val="0"/>
              <w:ind w:left="0" w:leftChars="0" w:right="0" w:rightChars="0" w:firstLine="0" w:firstLineChars="0"/>
              <w:jc w:val="center"/>
              <w:rPr>
                <w:rFonts w:hint="default" w:ascii="Segoe UI" w:hAnsi="Segoe UI" w:eastAsia="Segoe UI" w:cs="Segoe UI"/>
                <w:sz w:val="22"/>
                <w:szCs w:val="22"/>
              </w:rPr>
            </w:pPr>
          </w:p>
        </w:tc>
        <w:tc>
          <w:tcPr>
            <w:tcW w:w="1301"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77B72A03">
            <w:pPr>
              <w:keepNext/>
              <w:snapToGrid w:val="0"/>
              <w:ind w:left="0" w:leftChars="0" w:right="0" w:rightChars="0" w:firstLine="0" w:firstLineChars="0"/>
              <w:jc w:val="center"/>
              <w:rPr>
                <w:rFonts w:hint="default" w:ascii="Segoe UI" w:hAnsi="Segoe UI" w:eastAsia="Segoe UI" w:cs="Segoe UI"/>
                <w:sz w:val="22"/>
                <w:szCs w:val="22"/>
              </w:rPr>
            </w:pPr>
          </w:p>
        </w:tc>
        <w:tc>
          <w:tcPr>
            <w:tcW w:w="1497"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685CF096">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≥10</w:t>
            </w:r>
          </w:p>
        </w:tc>
        <w:tc>
          <w:tcPr>
            <w:tcW w:w="90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2E1D94F5">
            <w:pPr>
              <w:keepNext/>
              <w:keepLines w:val="0"/>
              <w:widowControl/>
              <w:suppressLineNumbers w:val="0"/>
              <w:snapToGrid w:val="0"/>
              <w:spacing w:line="240" w:lineRule="auto"/>
              <w:ind w:left="0" w:leftChars="0" w:right="0" w:rightChars="0" w:firstLine="0" w:firstLineChars="0"/>
              <w:jc w:val="righ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10</w:t>
            </w:r>
          </w:p>
        </w:tc>
        <w:tc>
          <w:tcPr>
            <w:tcW w:w="891"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390CE173">
            <w:pPr>
              <w:keepNext/>
              <w:snapToGrid w:val="0"/>
              <w:ind w:left="0" w:leftChars="0" w:right="0" w:rightChars="0" w:firstLine="0" w:firstLineChars="0"/>
              <w:jc w:val="center"/>
              <w:rPr>
                <w:rFonts w:hint="default" w:ascii="Segoe UI" w:hAnsi="Segoe UI" w:eastAsia="Segoe UI" w:cs="Segoe UI"/>
                <w:sz w:val="22"/>
                <w:szCs w:val="22"/>
              </w:rPr>
            </w:pPr>
          </w:p>
        </w:tc>
      </w:tr>
      <w:tr w14:paraId="39189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406"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73B1A92C">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Step 3</w:t>
            </w:r>
          </w:p>
        </w:tc>
        <w:tc>
          <w:tcPr>
            <w:tcW w:w="1301"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53F98F70">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Types of source streams</w:t>
            </w:r>
          </w:p>
        </w:tc>
        <w:tc>
          <w:tcPr>
            <w:tcW w:w="1497"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2C1C09C7">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Standard fuels only</w:t>
            </w:r>
          </w:p>
        </w:tc>
        <w:tc>
          <w:tcPr>
            <w:tcW w:w="90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7AAD34BE">
            <w:pPr>
              <w:keepNext/>
              <w:keepLines w:val="0"/>
              <w:widowControl/>
              <w:suppressLineNumbers w:val="0"/>
              <w:snapToGrid w:val="0"/>
              <w:spacing w:line="240" w:lineRule="auto"/>
              <w:ind w:left="0" w:leftChars="0" w:right="0" w:rightChars="0" w:firstLine="0" w:firstLineChars="0"/>
              <w:jc w:val="righ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1</w:t>
            </w:r>
          </w:p>
        </w:tc>
        <w:tc>
          <w:tcPr>
            <w:tcW w:w="891"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0FDD5946">
            <w:pPr>
              <w:keepNext/>
              <w:snapToGrid w:val="0"/>
              <w:ind w:left="0" w:leftChars="0" w:right="0" w:rightChars="0" w:firstLine="0" w:firstLineChars="0"/>
              <w:jc w:val="center"/>
              <w:rPr>
                <w:rFonts w:hint="default" w:ascii="Segoe UI" w:hAnsi="Segoe UI" w:eastAsia="Segoe UI" w:cs="Segoe UI"/>
                <w:sz w:val="22"/>
                <w:szCs w:val="22"/>
              </w:rPr>
            </w:pPr>
          </w:p>
        </w:tc>
      </w:tr>
      <w:tr w14:paraId="2831B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406"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6B28850C">
            <w:pPr>
              <w:keepNext/>
              <w:snapToGrid w:val="0"/>
              <w:ind w:left="0" w:leftChars="0" w:right="0" w:rightChars="0" w:firstLine="0" w:firstLineChars="0"/>
              <w:jc w:val="center"/>
              <w:rPr>
                <w:rFonts w:hint="default" w:ascii="Segoe UI" w:hAnsi="Segoe UI" w:eastAsia="Segoe UI" w:cs="Segoe UI"/>
                <w:sz w:val="22"/>
                <w:szCs w:val="22"/>
              </w:rPr>
            </w:pPr>
          </w:p>
        </w:tc>
        <w:tc>
          <w:tcPr>
            <w:tcW w:w="1301"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55C3CEF1">
            <w:pPr>
              <w:keepNext/>
              <w:snapToGrid w:val="0"/>
              <w:ind w:left="0" w:leftChars="0" w:right="0" w:rightChars="0" w:firstLine="0" w:firstLineChars="0"/>
              <w:jc w:val="center"/>
              <w:rPr>
                <w:rFonts w:hint="default" w:ascii="Segoe UI" w:hAnsi="Segoe UI" w:eastAsia="Segoe UI" w:cs="Segoe UI"/>
                <w:sz w:val="22"/>
                <w:szCs w:val="22"/>
              </w:rPr>
            </w:pPr>
          </w:p>
        </w:tc>
        <w:tc>
          <w:tcPr>
            <w:tcW w:w="1497"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6F8F9370">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Standard fuels or natural gas only</w:t>
            </w:r>
          </w:p>
        </w:tc>
        <w:tc>
          <w:tcPr>
            <w:tcW w:w="90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2D08FDAE">
            <w:pPr>
              <w:keepNext/>
              <w:keepLines w:val="0"/>
              <w:widowControl/>
              <w:suppressLineNumbers w:val="0"/>
              <w:snapToGrid w:val="0"/>
              <w:spacing w:line="240" w:lineRule="auto"/>
              <w:ind w:left="0" w:leftChars="0" w:right="0" w:rightChars="0" w:firstLine="0" w:firstLineChars="0"/>
              <w:jc w:val="righ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4</w:t>
            </w:r>
          </w:p>
        </w:tc>
        <w:tc>
          <w:tcPr>
            <w:tcW w:w="891"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2F8F4CD0">
            <w:pPr>
              <w:keepNext/>
              <w:snapToGrid w:val="0"/>
              <w:ind w:left="0" w:leftChars="0" w:right="0" w:rightChars="0" w:firstLine="0" w:firstLineChars="0"/>
              <w:jc w:val="center"/>
              <w:rPr>
                <w:rFonts w:hint="default" w:ascii="Segoe UI" w:hAnsi="Segoe UI" w:eastAsia="Segoe UI" w:cs="Segoe UI"/>
                <w:sz w:val="22"/>
                <w:szCs w:val="22"/>
              </w:rPr>
            </w:pPr>
          </w:p>
        </w:tc>
      </w:tr>
      <w:tr w14:paraId="46FD2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406"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5719D495">
            <w:pPr>
              <w:keepNext/>
              <w:snapToGrid w:val="0"/>
              <w:ind w:left="0" w:leftChars="0" w:right="0" w:rightChars="0" w:firstLine="0" w:firstLineChars="0"/>
              <w:jc w:val="center"/>
              <w:rPr>
                <w:rFonts w:hint="default" w:ascii="Segoe UI" w:hAnsi="Segoe UI" w:eastAsia="Segoe UI" w:cs="Segoe UI"/>
                <w:sz w:val="22"/>
                <w:szCs w:val="22"/>
              </w:rPr>
            </w:pPr>
          </w:p>
        </w:tc>
        <w:tc>
          <w:tcPr>
            <w:tcW w:w="1301"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33A65895">
            <w:pPr>
              <w:keepNext/>
              <w:snapToGrid w:val="0"/>
              <w:ind w:left="0" w:leftChars="0" w:right="0" w:rightChars="0" w:firstLine="0" w:firstLineChars="0"/>
              <w:jc w:val="center"/>
              <w:rPr>
                <w:rFonts w:hint="default" w:ascii="Segoe UI" w:hAnsi="Segoe UI" w:eastAsia="Segoe UI" w:cs="Segoe UI"/>
                <w:sz w:val="22"/>
                <w:szCs w:val="22"/>
              </w:rPr>
            </w:pPr>
          </w:p>
        </w:tc>
        <w:tc>
          <w:tcPr>
            <w:tcW w:w="1497"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6000D2BE">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Mixed fuels, non</w:t>
            </w:r>
            <w:r>
              <w:rPr>
                <w:rFonts w:hint="default" w:ascii="Segoe UI" w:hAnsi="Segoe UI" w:eastAsia="Segoe UI" w:cs="Segoe UI"/>
                <w:kern w:val="0"/>
                <w:sz w:val="22"/>
                <w:szCs w:val="22"/>
                <w:bdr w:val="none" w:color="auto" w:sz="0" w:space="0"/>
                <w:lang w:val="en-US" w:eastAsia="zh-CN" w:bidi="ar"/>
              </w:rPr>
              <w:noBreakHyphen/>
            </w:r>
            <w:r>
              <w:rPr>
                <w:rFonts w:hint="default" w:ascii="Segoe UI" w:hAnsi="Segoe UI" w:eastAsia="Segoe UI" w:cs="Segoe UI"/>
                <w:kern w:val="0"/>
                <w:sz w:val="22"/>
                <w:szCs w:val="22"/>
                <w:bdr w:val="none" w:color="auto" w:sz="0" w:space="0"/>
                <w:lang w:val="en-US" w:eastAsia="zh-CN" w:bidi="ar"/>
              </w:rPr>
              <w:t>standard fuels, mixed biomass</w:t>
            </w:r>
          </w:p>
        </w:tc>
        <w:tc>
          <w:tcPr>
            <w:tcW w:w="90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6987D53A">
            <w:pPr>
              <w:keepNext/>
              <w:keepLines w:val="0"/>
              <w:widowControl/>
              <w:suppressLineNumbers w:val="0"/>
              <w:snapToGrid w:val="0"/>
              <w:spacing w:line="240" w:lineRule="auto"/>
              <w:ind w:left="0" w:leftChars="0" w:right="0" w:rightChars="0" w:firstLine="0" w:firstLineChars="0"/>
              <w:jc w:val="righ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8</w:t>
            </w:r>
          </w:p>
        </w:tc>
        <w:tc>
          <w:tcPr>
            <w:tcW w:w="891"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5801DFC8">
            <w:pPr>
              <w:keepNext/>
              <w:snapToGrid w:val="0"/>
              <w:ind w:left="0" w:leftChars="0" w:right="0" w:rightChars="0" w:firstLine="0" w:firstLineChars="0"/>
              <w:jc w:val="center"/>
              <w:rPr>
                <w:rFonts w:hint="default" w:ascii="Segoe UI" w:hAnsi="Segoe UI" w:eastAsia="Segoe UI" w:cs="Segoe UI"/>
                <w:sz w:val="22"/>
                <w:szCs w:val="22"/>
              </w:rPr>
            </w:pPr>
          </w:p>
        </w:tc>
      </w:tr>
      <w:tr w14:paraId="65F4E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406"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18E719C5">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Step 4</w:t>
            </w:r>
          </w:p>
        </w:tc>
        <w:tc>
          <w:tcPr>
            <w:tcW w:w="1301"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5ED9EB1B">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Total emissions</w:t>
            </w:r>
          </w:p>
        </w:tc>
        <w:tc>
          <w:tcPr>
            <w:tcW w:w="1497"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08AD36B3">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&lt;5,000 t</w:t>
            </w:r>
          </w:p>
        </w:tc>
        <w:tc>
          <w:tcPr>
            <w:tcW w:w="90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6CDE7C74">
            <w:pPr>
              <w:keepNext/>
              <w:keepLines w:val="0"/>
              <w:widowControl/>
              <w:suppressLineNumbers w:val="0"/>
              <w:snapToGrid w:val="0"/>
              <w:spacing w:line="240" w:lineRule="auto"/>
              <w:ind w:left="0" w:leftChars="0" w:right="0" w:rightChars="0" w:firstLine="0" w:firstLineChars="0"/>
              <w:jc w:val="righ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0</w:t>
            </w:r>
          </w:p>
        </w:tc>
        <w:tc>
          <w:tcPr>
            <w:tcW w:w="891"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2C84F3AC">
            <w:pPr>
              <w:keepNext/>
              <w:snapToGrid w:val="0"/>
              <w:ind w:left="0" w:leftChars="0" w:right="0" w:rightChars="0" w:firstLine="0" w:firstLineChars="0"/>
              <w:jc w:val="center"/>
              <w:rPr>
                <w:rFonts w:hint="default" w:ascii="Segoe UI" w:hAnsi="Segoe UI" w:eastAsia="Segoe UI" w:cs="Segoe UI"/>
                <w:sz w:val="22"/>
                <w:szCs w:val="22"/>
              </w:rPr>
            </w:pPr>
          </w:p>
        </w:tc>
      </w:tr>
      <w:tr w14:paraId="2DA0D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406"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4145CA94">
            <w:pPr>
              <w:keepNext/>
              <w:snapToGrid w:val="0"/>
              <w:ind w:left="0" w:leftChars="0" w:right="0" w:rightChars="0" w:firstLine="0" w:firstLineChars="0"/>
              <w:jc w:val="center"/>
              <w:rPr>
                <w:rFonts w:hint="default" w:ascii="Segoe UI" w:hAnsi="Segoe UI" w:eastAsia="Segoe UI" w:cs="Segoe UI"/>
                <w:sz w:val="22"/>
                <w:szCs w:val="22"/>
              </w:rPr>
            </w:pPr>
          </w:p>
        </w:tc>
        <w:tc>
          <w:tcPr>
            <w:tcW w:w="1301"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5A49ACD2">
            <w:pPr>
              <w:keepNext/>
              <w:snapToGrid w:val="0"/>
              <w:ind w:left="0" w:leftChars="0" w:right="0" w:rightChars="0" w:firstLine="0" w:firstLineChars="0"/>
              <w:jc w:val="center"/>
              <w:rPr>
                <w:rFonts w:hint="default" w:ascii="Segoe UI" w:hAnsi="Segoe UI" w:eastAsia="Segoe UI" w:cs="Segoe UI"/>
                <w:sz w:val="22"/>
                <w:szCs w:val="22"/>
              </w:rPr>
            </w:pPr>
          </w:p>
        </w:tc>
        <w:tc>
          <w:tcPr>
            <w:tcW w:w="1497"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5C2397C7">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5,000</w:t>
            </w:r>
            <w:r>
              <w:rPr>
                <w:rFonts w:hint="default" w:ascii="Segoe UI" w:hAnsi="Segoe UI" w:eastAsia="Segoe UI" w:cs="Segoe UI"/>
                <w:kern w:val="0"/>
                <w:sz w:val="22"/>
                <w:szCs w:val="22"/>
                <w:bdr w:val="none" w:color="auto" w:sz="0" w:space="0"/>
                <w:lang w:val="en-US" w:eastAsia="zh-CN" w:bidi="ar"/>
              </w:rPr>
              <w:noBreakHyphen/>
            </w:r>
            <w:r>
              <w:rPr>
                <w:rFonts w:hint="default" w:ascii="Segoe UI" w:hAnsi="Segoe UI" w:eastAsia="Segoe UI" w:cs="Segoe UI"/>
                <w:kern w:val="0"/>
                <w:sz w:val="22"/>
                <w:szCs w:val="22"/>
                <w:bdr w:val="none" w:color="auto" w:sz="0" w:space="0"/>
                <w:lang w:val="en-US" w:eastAsia="zh-CN" w:bidi="ar"/>
              </w:rPr>
              <w:t>20,000</w:t>
            </w:r>
          </w:p>
        </w:tc>
        <w:tc>
          <w:tcPr>
            <w:tcW w:w="90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305DE129">
            <w:pPr>
              <w:keepNext/>
              <w:keepLines w:val="0"/>
              <w:widowControl/>
              <w:suppressLineNumbers w:val="0"/>
              <w:snapToGrid w:val="0"/>
              <w:spacing w:line="240" w:lineRule="auto"/>
              <w:ind w:left="0" w:leftChars="0" w:right="0" w:rightChars="0" w:firstLine="0" w:firstLineChars="0"/>
              <w:jc w:val="righ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1</w:t>
            </w:r>
          </w:p>
        </w:tc>
        <w:tc>
          <w:tcPr>
            <w:tcW w:w="891"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1ED9A7BD">
            <w:pPr>
              <w:keepNext/>
              <w:snapToGrid w:val="0"/>
              <w:ind w:left="0" w:leftChars="0" w:right="0" w:rightChars="0" w:firstLine="0" w:firstLineChars="0"/>
              <w:jc w:val="center"/>
              <w:rPr>
                <w:rFonts w:hint="default" w:ascii="Segoe UI" w:hAnsi="Segoe UI" w:eastAsia="Segoe UI" w:cs="Segoe UI"/>
                <w:sz w:val="22"/>
                <w:szCs w:val="22"/>
              </w:rPr>
            </w:pPr>
          </w:p>
        </w:tc>
      </w:tr>
      <w:tr w14:paraId="27C31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406"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6B7B57BC">
            <w:pPr>
              <w:keepNext/>
              <w:snapToGrid w:val="0"/>
              <w:ind w:left="0" w:leftChars="0" w:right="0" w:rightChars="0" w:firstLine="0" w:firstLineChars="0"/>
              <w:jc w:val="center"/>
              <w:rPr>
                <w:rFonts w:hint="default" w:ascii="Segoe UI" w:hAnsi="Segoe UI" w:eastAsia="Segoe UI" w:cs="Segoe UI"/>
                <w:sz w:val="22"/>
                <w:szCs w:val="22"/>
              </w:rPr>
            </w:pPr>
          </w:p>
        </w:tc>
        <w:tc>
          <w:tcPr>
            <w:tcW w:w="1301"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6620D5F6">
            <w:pPr>
              <w:keepNext/>
              <w:snapToGrid w:val="0"/>
              <w:ind w:left="0" w:leftChars="0" w:right="0" w:rightChars="0" w:firstLine="0" w:firstLineChars="0"/>
              <w:jc w:val="center"/>
              <w:rPr>
                <w:rFonts w:hint="default" w:ascii="Segoe UI" w:hAnsi="Segoe UI" w:eastAsia="Segoe UI" w:cs="Segoe UI"/>
                <w:sz w:val="22"/>
                <w:szCs w:val="22"/>
              </w:rPr>
            </w:pPr>
          </w:p>
        </w:tc>
        <w:tc>
          <w:tcPr>
            <w:tcW w:w="1497"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08570705">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20,000</w:t>
            </w:r>
            <w:r>
              <w:rPr>
                <w:rFonts w:hint="default" w:ascii="Segoe UI" w:hAnsi="Segoe UI" w:eastAsia="Segoe UI" w:cs="Segoe UI"/>
                <w:kern w:val="0"/>
                <w:sz w:val="22"/>
                <w:szCs w:val="22"/>
                <w:bdr w:val="none" w:color="auto" w:sz="0" w:space="0"/>
                <w:lang w:val="en-US" w:eastAsia="zh-CN" w:bidi="ar"/>
              </w:rPr>
              <w:noBreakHyphen/>
            </w:r>
            <w:r>
              <w:rPr>
                <w:rFonts w:hint="default" w:ascii="Segoe UI" w:hAnsi="Segoe UI" w:eastAsia="Segoe UI" w:cs="Segoe UI"/>
                <w:kern w:val="0"/>
                <w:sz w:val="22"/>
                <w:szCs w:val="22"/>
                <w:bdr w:val="none" w:color="auto" w:sz="0" w:space="0"/>
                <w:lang w:val="en-US" w:eastAsia="zh-CN" w:bidi="ar"/>
              </w:rPr>
              <w:t>50,000</w:t>
            </w:r>
          </w:p>
        </w:tc>
        <w:tc>
          <w:tcPr>
            <w:tcW w:w="90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13E0F7B8">
            <w:pPr>
              <w:keepNext/>
              <w:keepLines w:val="0"/>
              <w:widowControl/>
              <w:suppressLineNumbers w:val="0"/>
              <w:snapToGrid w:val="0"/>
              <w:spacing w:line="240" w:lineRule="auto"/>
              <w:ind w:left="0" w:leftChars="0" w:right="0" w:rightChars="0" w:firstLine="0" w:firstLineChars="0"/>
              <w:jc w:val="righ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8</w:t>
            </w:r>
          </w:p>
        </w:tc>
        <w:tc>
          <w:tcPr>
            <w:tcW w:w="891"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21499F2D">
            <w:pPr>
              <w:keepNext/>
              <w:snapToGrid w:val="0"/>
              <w:ind w:left="0" w:leftChars="0" w:right="0" w:rightChars="0" w:firstLine="0" w:firstLineChars="0"/>
              <w:jc w:val="center"/>
              <w:rPr>
                <w:rFonts w:hint="default" w:ascii="Segoe UI" w:hAnsi="Segoe UI" w:eastAsia="Segoe UI" w:cs="Segoe UI"/>
                <w:sz w:val="22"/>
                <w:szCs w:val="22"/>
              </w:rPr>
            </w:pPr>
          </w:p>
        </w:tc>
      </w:tr>
      <w:tr w14:paraId="4887C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406"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557D4399">
            <w:pPr>
              <w:keepNext/>
              <w:snapToGrid w:val="0"/>
              <w:ind w:left="0" w:leftChars="0" w:right="0" w:rightChars="0" w:firstLine="0" w:firstLineChars="0"/>
              <w:jc w:val="center"/>
              <w:rPr>
                <w:rFonts w:hint="default" w:ascii="Segoe UI" w:hAnsi="Segoe UI" w:eastAsia="Segoe UI" w:cs="Segoe UI"/>
                <w:sz w:val="22"/>
                <w:szCs w:val="22"/>
              </w:rPr>
            </w:pPr>
          </w:p>
        </w:tc>
        <w:tc>
          <w:tcPr>
            <w:tcW w:w="1301"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682CDCF3">
            <w:pPr>
              <w:keepNext/>
              <w:snapToGrid w:val="0"/>
              <w:ind w:left="0" w:leftChars="0" w:right="0" w:rightChars="0" w:firstLine="0" w:firstLineChars="0"/>
              <w:jc w:val="center"/>
              <w:rPr>
                <w:rFonts w:hint="default" w:ascii="Segoe UI" w:hAnsi="Segoe UI" w:eastAsia="Segoe UI" w:cs="Segoe UI"/>
                <w:sz w:val="22"/>
                <w:szCs w:val="22"/>
              </w:rPr>
            </w:pPr>
          </w:p>
        </w:tc>
        <w:tc>
          <w:tcPr>
            <w:tcW w:w="1497"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4A42BC89">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&gt;50,000</w:t>
            </w:r>
          </w:p>
        </w:tc>
        <w:tc>
          <w:tcPr>
            <w:tcW w:w="90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48CE5B8E">
            <w:pPr>
              <w:keepNext/>
              <w:keepLines w:val="0"/>
              <w:widowControl/>
              <w:suppressLineNumbers w:val="0"/>
              <w:snapToGrid w:val="0"/>
              <w:spacing w:line="240" w:lineRule="auto"/>
              <w:ind w:left="0" w:leftChars="0" w:right="0" w:rightChars="0" w:firstLine="0" w:firstLineChars="0"/>
              <w:jc w:val="righ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15</w:t>
            </w:r>
          </w:p>
        </w:tc>
        <w:tc>
          <w:tcPr>
            <w:tcW w:w="891"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783A5A2B">
            <w:pPr>
              <w:keepNext/>
              <w:snapToGrid w:val="0"/>
              <w:ind w:left="0" w:leftChars="0" w:right="0" w:rightChars="0" w:firstLine="0" w:firstLineChars="0"/>
              <w:jc w:val="center"/>
              <w:rPr>
                <w:rFonts w:hint="default" w:ascii="Segoe UI" w:hAnsi="Segoe UI" w:eastAsia="Segoe UI" w:cs="Segoe UI"/>
                <w:sz w:val="22"/>
                <w:szCs w:val="22"/>
              </w:rPr>
            </w:pPr>
          </w:p>
        </w:tc>
      </w:tr>
      <w:tr w14:paraId="5B5DB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406"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5FADBB9E">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Step 5</w:t>
            </w:r>
          </w:p>
        </w:tc>
        <w:tc>
          <w:tcPr>
            <w:tcW w:w="1301"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6E0719F2">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Complexity of data flow activities and reliability of control procedures</w:t>
            </w:r>
          </w:p>
        </w:tc>
        <w:tc>
          <w:tcPr>
            <w:tcW w:w="1497"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10612058">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Simple and reliable</w:t>
            </w:r>
          </w:p>
        </w:tc>
        <w:tc>
          <w:tcPr>
            <w:tcW w:w="90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1222F4FF">
            <w:pPr>
              <w:keepNext/>
              <w:keepLines w:val="0"/>
              <w:widowControl/>
              <w:suppressLineNumbers w:val="0"/>
              <w:snapToGrid w:val="0"/>
              <w:spacing w:line="240" w:lineRule="auto"/>
              <w:ind w:left="0" w:leftChars="0" w:right="0" w:rightChars="0" w:firstLine="0" w:firstLineChars="0"/>
              <w:jc w:val="righ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2</w:t>
            </w:r>
          </w:p>
        </w:tc>
        <w:tc>
          <w:tcPr>
            <w:tcW w:w="891"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7681B482">
            <w:pPr>
              <w:keepNext/>
              <w:snapToGrid w:val="0"/>
              <w:ind w:left="0" w:leftChars="0" w:right="0" w:rightChars="0" w:firstLine="0" w:firstLineChars="0"/>
              <w:jc w:val="center"/>
              <w:rPr>
                <w:rFonts w:hint="default" w:ascii="Segoe UI" w:hAnsi="Segoe UI" w:eastAsia="Segoe UI" w:cs="Segoe UI"/>
                <w:sz w:val="22"/>
                <w:szCs w:val="22"/>
              </w:rPr>
            </w:pPr>
          </w:p>
        </w:tc>
      </w:tr>
      <w:tr w14:paraId="29357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406"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1E1F76F4">
            <w:pPr>
              <w:keepNext/>
              <w:snapToGrid w:val="0"/>
              <w:ind w:left="0" w:leftChars="0" w:right="0" w:rightChars="0" w:firstLine="0" w:firstLineChars="0"/>
              <w:jc w:val="center"/>
              <w:rPr>
                <w:rFonts w:hint="default" w:ascii="Segoe UI" w:hAnsi="Segoe UI" w:eastAsia="Segoe UI" w:cs="Segoe UI"/>
                <w:sz w:val="22"/>
                <w:szCs w:val="22"/>
              </w:rPr>
            </w:pPr>
          </w:p>
        </w:tc>
        <w:tc>
          <w:tcPr>
            <w:tcW w:w="1301"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3A5E0092">
            <w:pPr>
              <w:keepNext/>
              <w:snapToGrid w:val="0"/>
              <w:ind w:left="0" w:leftChars="0" w:right="0" w:rightChars="0" w:firstLine="0" w:firstLineChars="0"/>
              <w:jc w:val="center"/>
              <w:rPr>
                <w:rFonts w:hint="default" w:ascii="Segoe UI" w:hAnsi="Segoe UI" w:eastAsia="Segoe UI" w:cs="Segoe UI"/>
                <w:sz w:val="22"/>
                <w:szCs w:val="22"/>
              </w:rPr>
            </w:pPr>
          </w:p>
        </w:tc>
        <w:tc>
          <w:tcPr>
            <w:tcW w:w="1497"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68265519">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Moderate complexity, reliable control</w:t>
            </w:r>
          </w:p>
        </w:tc>
        <w:tc>
          <w:tcPr>
            <w:tcW w:w="90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563E9CF8">
            <w:pPr>
              <w:keepNext/>
              <w:keepLines w:val="0"/>
              <w:widowControl/>
              <w:suppressLineNumbers w:val="0"/>
              <w:snapToGrid w:val="0"/>
              <w:spacing w:line="240" w:lineRule="auto"/>
              <w:ind w:left="0" w:leftChars="0" w:right="0" w:rightChars="0" w:firstLine="0" w:firstLineChars="0"/>
              <w:jc w:val="righ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8</w:t>
            </w:r>
          </w:p>
        </w:tc>
        <w:tc>
          <w:tcPr>
            <w:tcW w:w="891"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77C04CFA">
            <w:pPr>
              <w:keepNext/>
              <w:snapToGrid w:val="0"/>
              <w:ind w:left="0" w:leftChars="0" w:right="0" w:rightChars="0" w:firstLine="0" w:firstLineChars="0"/>
              <w:jc w:val="center"/>
              <w:rPr>
                <w:rFonts w:hint="default" w:ascii="Segoe UI" w:hAnsi="Segoe UI" w:eastAsia="Segoe UI" w:cs="Segoe UI"/>
                <w:sz w:val="22"/>
                <w:szCs w:val="22"/>
              </w:rPr>
            </w:pPr>
          </w:p>
        </w:tc>
      </w:tr>
      <w:tr w14:paraId="4B422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406"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6D06ABFA">
            <w:pPr>
              <w:keepNext/>
              <w:snapToGrid w:val="0"/>
              <w:ind w:left="0" w:leftChars="0" w:right="0" w:rightChars="0" w:firstLine="0" w:firstLineChars="0"/>
              <w:jc w:val="center"/>
              <w:rPr>
                <w:rFonts w:hint="default" w:ascii="Segoe UI" w:hAnsi="Segoe UI" w:eastAsia="Segoe UI" w:cs="Segoe UI"/>
                <w:sz w:val="22"/>
                <w:szCs w:val="22"/>
              </w:rPr>
            </w:pPr>
          </w:p>
        </w:tc>
        <w:tc>
          <w:tcPr>
            <w:tcW w:w="1301"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13FB94F4">
            <w:pPr>
              <w:keepNext/>
              <w:snapToGrid w:val="0"/>
              <w:ind w:left="0" w:leftChars="0" w:right="0" w:rightChars="0" w:firstLine="0" w:firstLineChars="0"/>
              <w:jc w:val="center"/>
              <w:rPr>
                <w:rFonts w:hint="default" w:ascii="Segoe UI" w:hAnsi="Segoe UI" w:eastAsia="Segoe UI" w:cs="Segoe UI"/>
                <w:sz w:val="22"/>
                <w:szCs w:val="22"/>
              </w:rPr>
            </w:pPr>
          </w:p>
        </w:tc>
        <w:tc>
          <w:tcPr>
            <w:tcW w:w="1497"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59D948DB">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Complex but reliable control</w:t>
            </w:r>
          </w:p>
        </w:tc>
        <w:tc>
          <w:tcPr>
            <w:tcW w:w="90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403B1589">
            <w:pPr>
              <w:keepNext/>
              <w:keepLines w:val="0"/>
              <w:widowControl/>
              <w:suppressLineNumbers w:val="0"/>
              <w:snapToGrid w:val="0"/>
              <w:spacing w:line="240" w:lineRule="auto"/>
              <w:ind w:left="0" w:leftChars="0" w:right="0" w:rightChars="0" w:firstLine="0" w:firstLineChars="0"/>
              <w:jc w:val="righ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16</w:t>
            </w:r>
          </w:p>
        </w:tc>
        <w:tc>
          <w:tcPr>
            <w:tcW w:w="891"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6571981B">
            <w:pPr>
              <w:keepNext/>
              <w:snapToGrid w:val="0"/>
              <w:ind w:left="0" w:leftChars="0" w:right="0" w:rightChars="0" w:firstLine="0" w:firstLineChars="0"/>
              <w:jc w:val="center"/>
              <w:rPr>
                <w:rFonts w:hint="default" w:ascii="Segoe UI" w:hAnsi="Segoe UI" w:eastAsia="Segoe UI" w:cs="Segoe UI"/>
                <w:sz w:val="22"/>
                <w:szCs w:val="22"/>
              </w:rPr>
            </w:pPr>
          </w:p>
        </w:tc>
      </w:tr>
      <w:tr w14:paraId="3C44F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406"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496956FE">
            <w:pPr>
              <w:keepNext/>
              <w:snapToGrid w:val="0"/>
              <w:ind w:left="0" w:leftChars="0" w:right="0" w:rightChars="0" w:firstLine="0" w:firstLineChars="0"/>
              <w:jc w:val="center"/>
              <w:rPr>
                <w:rFonts w:hint="default" w:ascii="Segoe UI" w:hAnsi="Segoe UI" w:eastAsia="Segoe UI" w:cs="Segoe UI"/>
                <w:sz w:val="22"/>
                <w:szCs w:val="22"/>
              </w:rPr>
            </w:pPr>
          </w:p>
        </w:tc>
        <w:tc>
          <w:tcPr>
            <w:tcW w:w="1301"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5214490D">
            <w:pPr>
              <w:keepNext/>
              <w:snapToGrid w:val="0"/>
              <w:ind w:left="0" w:leftChars="0" w:right="0" w:rightChars="0" w:firstLine="0" w:firstLineChars="0"/>
              <w:jc w:val="center"/>
              <w:rPr>
                <w:rFonts w:hint="default" w:ascii="Segoe UI" w:hAnsi="Segoe UI" w:eastAsia="Segoe UI" w:cs="Segoe UI"/>
                <w:sz w:val="22"/>
                <w:szCs w:val="22"/>
              </w:rPr>
            </w:pPr>
          </w:p>
        </w:tc>
        <w:tc>
          <w:tcPr>
            <w:tcW w:w="1497"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6999F8DF">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Moderate or complex, unreliable control</w:t>
            </w:r>
          </w:p>
        </w:tc>
        <w:tc>
          <w:tcPr>
            <w:tcW w:w="90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64C46507">
            <w:pPr>
              <w:keepNext/>
              <w:keepLines w:val="0"/>
              <w:widowControl/>
              <w:suppressLineNumbers w:val="0"/>
              <w:snapToGrid w:val="0"/>
              <w:spacing w:line="240" w:lineRule="auto"/>
              <w:ind w:left="0" w:leftChars="0" w:right="0" w:rightChars="0" w:firstLine="0" w:firstLineChars="0"/>
              <w:jc w:val="righ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30</w:t>
            </w:r>
          </w:p>
        </w:tc>
        <w:tc>
          <w:tcPr>
            <w:tcW w:w="891"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05646C69">
            <w:pPr>
              <w:keepNext/>
              <w:snapToGrid w:val="0"/>
              <w:ind w:left="0" w:leftChars="0" w:right="0" w:rightChars="0" w:firstLine="0" w:firstLineChars="0"/>
              <w:jc w:val="center"/>
              <w:rPr>
                <w:rFonts w:hint="default" w:ascii="Segoe UI" w:hAnsi="Segoe UI" w:eastAsia="Segoe UI" w:cs="Segoe UI"/>
                <w:sz w:val="22"/>
                <w:szCs w:val="22"/>
              </w:rPr>
            </w:pPr>
          </w:p>
        </w:tc>
      </w:tr>
      <w:tr w14:paraId="0258E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406"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659867D5">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Step 6</w:t>
            </w:r>
          </w:p>
        </w:tc>
        <w:tc>
          <w:tcPr>
            <w:tcW w:w="1301"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4A6A5284">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Determine man</w:t>
            </w:r>
            <w:r>
              <w:rPr>
                <w:rFonts w:hint="default" w:ascii="Segoe UI" w:hAnsi="Segoe UI" w:eastAsia="Segoe UI" w:cs="Segoe UI"/>
                <w:kern w:val="0"/>
                <w:sz w:val="22"/>
                <w:szCs w:val="22"/>
                <w:bdr w:val="none" w:color="auto" w:sz="0" w:space="0"/>
                <w:lang w:val="en-US" w:eastAsia="zh-CN" w:bidi="ar"/>
              </w:rPr>
              <w:noBreakHyphen/>
            </w:r>
            <w:r>
              <w:rPr>
                <w:rFonts w:hint="default" w:ascii="Segoe UI" w:hAnsi="Segoe UI" w:eastAsia="Segoe UI" w:cs="Segoe UI"/>
                <w:kern w:val="0"/>
                <w:sz w:val="22"/>
                <w:szCs w:val="22"/>
                <w:bdr w:val="none" w:color="auto" w:sz="0" w:space="0"/>
                <w:lang w:val="en-US" w:eastAsia="zh-CN" w:bidi="ar"/>
              </w:rPr>
              <w:t>days based on total score (minimum baseline man</w:t>
            </w:r>
            <w:r>
              <w:rPr>
                <w:rFonts w:hint="default" w:ascii="Segoe UI" w:hAnsi="Segoe UI" w:eastAsia="Segoe UI" w:cs="Segoe UI"/>
                <w:kern w:val="0"/>
                <w:sz w:val="22"/>
                <w:szCs w:val="22"/>
                <w:bdr w:val="none" w:color="auto" w:sz="0" w:space="0"/>
                <w:lang w:val="en-US" w:eastAsia="zh-CN" w:bidi="ar"/>
              </w:rPr>
              <w:noBreakHyphen/>
            </w:r>
            <w:r>
              <w:rPr>
                <w:rFonts w:hint="default" w:ascii="Segoe UI" w:hAnsi="Segoe UI" w:eastAsia="Segoe UI" w:cs="Segoe UI"/>
                <w:kern w:val="0"/>
                <w:sz w:val="22"/>
                <w:szCs w:val="22"/>
                <w:bdr w:val="none" w:color="auto" w:sz="0" w:space="0"/>
                <w:lang w:val="en-US" w:eastAsia="zh-CN" w:bidi="ar"/>
              </w:rPr>
              <w:t>days)</w:t>
            </w:r>
          </w:p>
        </w:tc>
        <w:tc>
          <w:tcPr>
            <w:tcW w:w="1497"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54307008">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≤8</w:t>
            </w:r>
          </w:p>
        </w:tc>
        <w:tc>
          <w:tcPr>
            <w:tcW w:w="90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10D4091D">
            <w:pPr>
              <w:keepNext/>
              <w:keepLines w:val="0"/>
              <w:widowControl/>
              <w:suppressLineNumbers w:val="0"/>
              <w:snapToGrid w:val="0"/>
              <w:spacing w:line="240" w:lineRule="auto"/>
              <w:ind w:left="0" w:leftChars="0" w:right="0" w:rightChars="0" w:firstLine="0" w:firstLineChars="0"/>
              <w:jc w:val="righ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1.5</w:t>
            </w:r>
          </w:p>
        </w:tc>
        <w:tc>
          <w:tcPr>
            <w:tcW w:w="891"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4E6EE15C">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(Enter man</w:t>
            </w:r>
            <w:r>
              <w:rPr>
                <w:rFonts w:hint="default" w:ascii="Segoe UI" w:hAnsi="Segoe UI" w:eastAsia="Segoe UI" w:cs="Segoe UI"/>
                <w:kern w:val="0"/>
                <w:sz w:val="22"/>
                <w:szCs w:val="22"/>
                <w:bdr w:val="none" w:color="auto" w:sz="0" w:space="0"/>
                <w:lang w:val="en-US" w:eastAsia="zh-CN" w:bidi="ar"/>
              </w:rPr>
              <w:noBreakHyphen/>
            </w:r>
            <w:r>
              <w:rPr>
                <w:rFonts w:hint="default" w:ascii="Segoe UI" w:hAnsi="Segoe UI" w:eastAsia="Segoe UI" w:cs="Segoe UI"/>
                <w:kern w:val="0"/>
                <w:sz w:val="22"/>
                <w:szCs w:val="22"/>
                <w:bdr w:val="none" w:color="auto" w:sz="0" w:space="0"/>
                <w:lang w:val="en-US" w:eastAsia="zh-CN" w:bidi="ar"/>
              </w:rPr>
              <w:t>days here)</w:t>
            </w:r>
          </w:p>
        </w:tc>
      </w:tr>
      <w:tr w14:paraId="60F46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406"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5B811528">
            <w:pPr>
              <w:keepNext/>
              <w:snapToGrid w:val="0"/>
              <w:ind w:left="0" w:leftChars="0" w:right="0" w:rightChars="0" w:firstLine="0" w:firstLineChars="0"/>
              <w:jc w:val="center"/>
              <w:rPr>
                <w:rFonts w:hint="default" w:ascii="Segoe UI" w:hAnsi="Segoe UI" w:eastAsia="Segoe UI" w:cs="Segoe UI"/>
                <w:sz w:val="22"/>
                <w:szCs w:val="22"/>
              </w:rPr>
            </w:pPr>
          </w:p>
        </w:tc>
        <w:tc>
          <w:tcPr>
            <w:tcW w:w="1301"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6B4DCD54">
            <w:pPr>
              <w:keepNext/>
              <w:snapToGrid w:val="0"/>
              <w:ind w:left="0" w:leftChars="0" w:right="0" w:rightChars="0" w:firstLine="0" w:firstLineChars="0"/>
              <w:jc w:val="center"/>
              <w:rPr>
                <w:rFonts w:hint="default" w:ascii="Segoe UI" w:hAnsi="Segoe UI" w:eastAsia="Segoe UI" w:cs="Segoe UI"/>
                <w:sz w:val="22"/>
                <w:szCs w:val="22"/>
              </w:rPr>
            </w:pPr>
          </w:p>
        </w:tc>
        <w:tc>
          <w:tcPr>
            <w:tcW w:w="1497"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76E8AB89">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8</w:t>
            </w:r>
            <w:r>
              <w:rPr>
                <w:rFonts w:hint="default" w:ascii="Segoe UI" w:hAnsi="Segoe UI" w:eastAsia="Segoe UI" w:cs="Segoe UI"/>
                <w:kern w:val="0"/>
                <w:sz w:val="22"/>
                <w:szCs w:val="22"/>
                <w:bdr w:val="none" w:color="auto" w:sz="0" w:space="0"/>
                <w:lang w:val="en-US" w:eastAsia="zh-CN" w:bidi="ar"/>
              </w:rPr>
              <w:noBreakHyphen/>
            </w:r>
            <w:r>
              <w:rPr>
                <w:rFonts w:hint="default" w:ascii="Segoe UI" w:hAnsi="Segoe UI" w:eastAsia="Segoe UI" w:cs="Segoe UI"/>
                <w:kern w:val="0"/>
                <w:sz w:val="22"/>
                <w:szCs w:val="22"/>
                <w:bdr w:val="none" w:color="auto" w:sz="0" w:space="0"/>
                <w:lang w:val="en-US" w:eastAsia="zh-CN" w:bidi="ar"/>
              </w:rPr>
              <w:t>23</w:t>
            </w:r>
          </w:p>
        </w:tc>
        <w:tc>
          <w:tcPr>
            <w:tcW w:w="90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51F730CB">
            <w:pPr>
              <w:keepNext/>
              <w:keepLines w:val="0"/>
              <w:widowControl/>
              <w:suppressLineNumbers w:val="0"/>
              <w:snapToGrid w:val="0"/>
              <w:spacing w:line="240" w:lineRule="auto"/>
              <w:ind w:left="0" w:leftChars="0" w:right="0" w:rightChars="0" w:firstLine="0" w:firstLineChars="0"/>
              <w:jc w:val="righ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2</w:t>
            </w:r>
            <w:r>
              <w:rPr>
                <w:rFonts w:hint="default" w:ascii="Segoe UI" w:hAnsi="Segoe UI" w:eastAsia="Segoe UI" w:cs="Segoe UI"/>
                <w:kern w:val="0"/>
                <w:sz w:val="22"/>
                <w:szCs w:val="22"/>
                <w:bdr w:val="none" w:color="auto" w:sz="0" w:space="0"/>
                <w:lang w:val="en-US" w:eastAsia="zh-CN" w:bidi="ar"/>
              </w:rPr>
              <w:noBreakHyphen/>
            </w:r>
            <w:r>
              <w:rPr>
                <w:rFonts w:hint="default" w:ascii="Segoe UI" w:hAnsi="Segoe UI" w:eastAsia="Segoe UI" w:cs="Segoe UI"/>
                <w:kern w:val="0"/>
                <w:sz w:val="22"/>
                <w:szCs w:val="22"/>
                <w:bdr w:val="none" w:color="auto" w:sz="0" w:space="0"/>
                <w:lang w:val="en-US" w:eastAsia="zh-CN" w:bidi="ar"/>
              </w:rPr>
              <w:t>3</w:t>
            </w:r>
          </w:p>
        </w:tc>
        <w:tc>
          <w:tcPr>
            <w:tcW w:w="891"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5CC0A8BC">
            <w:pPr>
              <w:keepNext/>
              <w:snapToGrid w:val="0"/>
              <w:ind w:left="0" w:leftChars="0" w:right="0" w:rightChars="0" w:firstLine="0" w:firstLineChars="0"/>
              <w:jc w:val="center"/>
              <w:rPr>
                <w:rFonts w:hint="default" w:ascii="Segoe UI" w:hAnsi="Segoe UI" w:eastAsia="Segoe UI" w:cs="Segoe UI"/>
                <w:sz w:val="22"/>
                <w:szCs w:val="22"/>
              </w:rPr>
            </w:pPr>
          </w:p>
        </w:tc>
      </w:tr>
      <w:tr w14:paraId="03AD3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406"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46DD4A75">
            <w:pPr>
              <w:keepNext/>
              <w:snapToGrid w:val="0"/>
              <w:ind w:left="0" w:leftChars="0" w:right="0" w:rightChars="0" w:firstLine="0" w:firstLineChars="0"/>
              <w:jc w:val="center"/>
              <w:rPr>
                <w:rFonts w:hint="default" w:ascii="Segoe UI" w:hAnsi="Segoe UI" w:eastAsia="Segoe UI" w:cs="Segoe UI"/>
                <w:sz w:val="22"/>
                <w:szCs w:val="22"/>
              </w:rPr>
            </w:pPr>
          </w:p>
        </w:tc>
        <w:tc>
          <w:tcPr>
            <w:tcW w:w="1301"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0B7B2816">
            <w:pPr>
              <w:keepNext/>
              <w:snapToGrid w:val="0"/>
              <w:ind w:left="0" w:leftChars="0" w:right="0" w:rightChars="0" w:firstLine="0" w:firstLineChars="0"/>
              <w:jc w:val="center"/>
              <w:rPr>
                <w:rFonts w:hint="default" w:ascii="Segoe UI" w:hAnsi="Segoe UI" w:eastAsia="Segoe UI" w:cs="Segoe UI"/>
                <w:sz w:val="22"/>
                <w:szCs w:val="22"/>
              </w:rPr>
            </w:pPr>
          </w:p>
        </w:tc>
        <w:tc>
          <w:tcPr>
            <w:tcW w:w="1497"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5AAB0CF4">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24</w:t>
            </w:r>
            <w:r>
              <w:rPr>
                <w:rFonts w:hint="default" w:ascii="Segoe UI" w:hAnsi="Segoe UI" w:eastAsia="Segoe UI" w:cs="Segoe UI"/>
                <w:kern w:val="0"/>
                <w:sz w:val="22"/>
                <w:szCs w:val="22"/>
                <w:bdr w:val="none" w:color="auto" w:sz="0" w:space="0"/>
                <w:lang w:val="en-US" w:eastAsia="zh-CN" w:bidi="ar"/>
              </w:rPr>
              <w:noBreakHyphen/>
            </w:r>
            <w:r>
              <w:rPr>
                <w:rFonts w:hint="default" w:ascii="Segoe UI" w:hAnsi="Segoe UI" w:eastAsia="Segoe UI" w:cs="Segoe UI"/>
                <w:kern w:val="0"/>
                <w:sz w:val="22"/>
                <w:szCs w:val="22"/>
                <w:bdr w:val="none" w:color="auto" w:sz="0" w:space="0"/>
                <w:lang w:val="en-US" w:eastAsia="zh-CN" w:bidi="ar"/>
              </w:rPr>
              <w:t>35</w:t>
            </w:r>
          </w:p>
        </w:tc>
        <w:tc>
          <w:tcPr>
            <w:tcW w:w="90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5B3288DB">
            <w:pPr>
              <w:keepNext/>
              <w:keepLines w:val="0"/>
              <w:widowControl/>
              <w:suppressLineNumbers w:val="0"/>
              <w:snapToGrid w:val="0"/>
              <w:spacing w:line="240" w:lineRule="auto"/>
              <w:ind w:left="0" w:leftChars="0" w:right="0" w:rightChars="0" w:firstLine="0" w:firstLineChars="0"/>
              <w:jc w:val="righ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4</w:t>
            </w:r>
            <w:r>
              <w:rPr>
                <w:rFonts w:hint="default" w:ascii="Segoe UI" w:hAnsi="Segoe UI" w:eastAsia="Segoe UI" w:cs="Segoe UI"/>
                <w:kern w:val="0"/>
                <w:sz w:val="22"/>
                <w:szCs w:val="22"/>
                <w:bdr w:val="none" w:color="auto" w:sz="0" w:space="0"/>
                <w:lang w:val="en-US" w:eastAsia="zh-CN" w:bidi="ar"/>
              </w:rPr>
              <w:noBreakHyphen/>
            </w:r>
            <w:r>
              <w:rPr>
                <w:rFonts w:hint="default" w:ascii="Segoe UI" w:hAnsi="Segoe UI" w:eastAsia="Segoe UI" w:cs="Segoe UI"/>
                <w:kern w:val="0"/>
                <w:sz w:val="22"/>
                <w:szCs w:val="22"/>
                <w:bdr w:val="none" w:color="auto" w:sz="0" w:space="0"/>
                <w:lang w:val="en-US" w:eastAsia="zh-CN" w:bidi="ar"/>
              </w:rPr>
              <w:t>5</w:t>
            </w:r>
          </w:p>
        </w:tc>
        <w:tc>
          <w:tcPr>
            <w:tcW w:w="891"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3FC1E117">
            <w:pPr>
              <w:keepNext/>
              <w:snapToGrid w:val="0"/>
              <w:ind w:left="0" w:leftChars="0" w:right="0" w:rightChars="0" w:firstLine="0" w:firstLineChars="0"/>
              <w:jc w:val="center"/>
              <w:rPr>
                <w:rFonts w:hint="default" w:ascii="Segoe UI" w:hAnsi="Segoe UI" w:eastAsia="Segoe UI" w:cs="Segoe UI"/>
                <w:sz w:val="22"/>
                <w:szCs w:val="22"/>
              </w:rPr>
            </w:pPr>
          </w:p>
        </w:tc>
      </w:tr>
      <w:tr w14:paraId="437F6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406"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6435EF8E">
            <w:pPr>
              <w:keepNext/>
              <w:snapToGrid w:val="0"/>
              <w:ind w:left="0" w:leftChars="0" w:right="0" w:rightChars="0" w:firstLine="0" w:firstLineChars="0"/>
              <w:jc w:val="center"/>
              <w:rPr>
                <w:rFonts w:hint="default" w:ascii="Segoe UI" w:hAnsi="Segoe UI" w:eastAsia="Segoe UI" w:cs="Segoe UI"/>
                <w:sz w:val="22"/>
                <w:szCs w:val="22"/>
              </w:rPr>
            </w:pPr>
          </w:p>
        </w:tc>
        <w:tc>
          <w:tcPr>
            <w:tcW w:w="1301"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4204FEDB">
            <w:pPr>
              <w:keepNext/>
              <w:snapToGrid w:val="0"/>
              <w:ind w:left="0" w:leftChars="0" w:right="0" w:rightChars="0" w:firstLine="0" w:firstLineChars="0"/>
              <w:jc w:val="center"/>
              <w:rPr>
                <w:rFonts w:hint="default" w:ascii="Segoe UI" w:hAnsi="Segoe UI" w:eastAsia="Segoe UI" w:cs="Segoe UI"/>
                <w:sz w:val="22"/>
                <w:szCs w:val="22"/>
              </w:rPr>
            </w:pPr>
          </w:p>
        </w:tc>
        <w:tc>
          <w:tcPr>
            <w:tcW w:w="1497"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29A94368">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36</w:t>
            </w:r>
            <w:r>
              <w:rPr>
                <w:rFonts w:hint="default" w:ascii="Segoe UI" w:hAnsi="Segoe UI" w:eastAsia="Segoe UI" w:cs="Segoe UI"/>
                <w:kern w:val="0"/>
                <w:sz w:val="22"/>
                <w:szCs w:val="22"/>
                <w:bdr w:val="none" w:color="auto" w:sz="0" w:space="0"/>
                <w:lang w:val="en-US" w:eastAsia="zh-CN" w:bidi="ar"/>
              </w:rPr>
              <w:noBreakHyphen/>
            </w:r>
            <w:r>
              <w:rPr>
                <w:rFonts w:hint="default" w:ascii="Segoe UI" w:hAnsi="Segoe UI" w:eastAsia="Segoe UI" w:cs="Segoe UI"/>
                <w:kern w:val="0"/>
                <w:sz w:val="22"/>
                <w:szCs w:val="22"/>
                <w:bdr w:val="none" w:color="auto" w:sz="0" w:space="0"/>
                <w:lang w:val="en-US" w:eastAsia="zh-CN" w:bidi="ar"/>
              </w:rPr>
              <w:t>50</w:t>
            </w:r>
          </w:p>
        </w:tc>
        <w:tc>
          <w:tcPr>
            <w:tcW w:w="90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1E00B588">
            <w:pPr>
              <w:keepNext/>
              <w:keepLines w:val="0"/>
              <w:widowControl/>
              <w:suppressLineNumbers w:val="0"/>
              <w:snapToGrid w:val="0"/>
              <w:spacing w:line="240" w:lineRule="auto"/>
              <w:ind w:left="0" w:leftChars="0" w:right="0" w:rightChars="0" w:firstLine="0" w:firstLineChars="0"/>
              <w:jc w:val="righ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6</w:t>
            </w:r>
            <w:r>
              <w:rPr>
                <w:rFonts w:hint="default" w:ascii="Segoe UI" w:hAnsi="Segoe UI" w:eastAsia="Segoe UI" w:cs="Segoe UI"/>
                <w:kern w:val="0"/>
                <w:sz w:val="22"/>
                <w:szCs w:val="22"/>
                <w:bdr w:val="none" w:color="auto" w:sz="0" w:space="0"/>
                <w:lang w:val="en-US" w:eastAsia="zh-CN" w:bidi="ar"/>
              </w:rPr>
              <w:noBreakHyphen/>
            </w:r>
            <w:r>
              <w:rPr>
                <w:rFonts w:hint="default" w:ascii="Segoe UI" w:hAnsi="Segoe UI" w:eastAsia="Segoe UI" w:cs="Segoe UI"/>
                <w:kern w:val="0"/>
                <w:sz w:val="22"/>
                <w:szCs w:val="22"/>
                <w:bdr w:val="none" w:color="auto" w:sz="0" w:space="0"/>
                <w:lang w:val="en-US" w:eastAsia="zh-CN" w:bidi="ar"/>
              </w:rPr>
              <w:t>7</w:t>
            </w:r>
          </w:p>
        </w:tc>
        <w:tc>
          <w:tcPr>
            <w:tcW w:w="891"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69158C29">
            <w:pPr>
              <w:keepNext/>
              <w:snapToGrid w:val="0"/>
              <w:ind w:left="0" w:leftChars="0" w:right="0" w:rightChars="0" w:firstLine="0" w:firstLineChars="0"/>
              <w:jc w:val="center"/>
              <w:rPr>
                <w:rFonts w:hint="default" w:ascii="Segoe UI" w:hAnsi="Segoe UI" w:eastAsia="Segoe UI" w:cs="Segoe UI"/>
                <w:sz w:val="22"/>
                <w:szCs w:val="22"/>
              </w:rPr>
            </w:pPr>
          </w:p>
        </w:tc>
      </w:tr>
      <w:tr w14:paraId="651D8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406"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7C543F9A">
            <w:pPr>
              <w:keepNext/>
              <w:snapToGrid w:val="0"/>
              <w:ind w:left="0" w:leftChars="0" w:right="0" w:rightChars="0" w:firstLine="0" w:firstLineChars="0"/>
              <w:jc w:val="center"/>
              <w:rPr>
                <w:rFonts w:hint="default" w:ascii="Segoe UI" w:hAnsi="Segoe UI" w:eastAsia="Segoe UI" w:cs="Segoe UI"/>
                <w:sz w:val="22"/>
                <w:szCs w:val="22"/>
              </w:rPr>
            </w:pPr>
          </w:p>
        </w:tc>
        <w:tc>
          <w:tcPr>
            <w:tcW w:w="1301"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1312BF18">
            <w:pPr>
              <w:keepNext/>
              <w:snapToGrid w:val="0"/>
              <w:ind w:left="0" w:leftChars="0" w:right="0" w:rightChars="0" w:firstLine="0" w:firstLineChars="0"/>
              <w:jc w:val="center"/>
              <w:rPr>
                <w:rFonts w:hint="default" w:ascii="Segoe UI" w:hAnsi="Segoe UI" w:eastAsia="Segoe UI" w:cs="Segoe UI"/>
                <w:sz w:val="22"/>
                <w:szCs w:val="22"/>
              </w:rPr>
            </w:pPr>
          </w:p>
        </w:tc>
        <w:tc>
          <w:tcPr>
            <w:tcW w:w="1497"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28B36DDC">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&gt;50</w:t>
            </w:r>
          </w:p>
        </w:tc>
        <w:tc>
          <w:tcPr>
            <w:tcW w:w="90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4B09038B">
            <w:pPr>
              <w:keepNext/>
              <w:keepLines w:val="0"/>
              <w:widowControl/>
              <w:suppressLineNumbers w:val="0"/>
              <w:snapToGrid w:val="0"/>
              <w:spacing w:line="240" w:lineRule="auto"/>
              <w:ind w:left="0" w:leftChars="0" w:right="0" w:rightChars="0" w:firstLine="0" w:firstLineChars="0"/>
              <w:jc w:val="righ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8</w:t>
            </w:r>
            <w:r>
              <w:rPr>
                <w:rFonts w:hint="default" w:ascii="Segoe UI" w:hAnsi="Segoe UI" w:eastAsia="Segoe UI" w:cs="Segoe UI"/>
                <w:kern w:val="0"/>
                <w:sz w:val="22"/>
                <w:szCs w:val="22"/>
                <w:bdr w:val="none" w:color="auto" w:sz="0" w:space="0"/>
                <w:lang w:val="en-US" w:eastAsia="zh-CN" w:bidi="ar"/>
              </w:rPr>
              <w:noBreakHyphen/>
            </w:r>
            <w:r>
              <w:rPr>
                <w:rFonts w:hint="default" w:ascii="Segoe UI" w:hAnsi="Segoe UI" w:eastAsia="Segoe UI" w:cs="Segoe UI"/>
                <w:kern w:val="0"/>
                <w:sz w:val="22"/>
                <w:szCs w:val="22"/>
                <w:bdr w:val="none" w:color="auto" w:sz="0" w:space="0"/>
                <w:lang w:val="en-US" w:eastAsia="zh-CN" w:bidi="ar"/>
              </w:rPr>
              <w:t>9</w:t>
            </w:r>
          </w:p>
        </w:tc>
        <w:tc>
          <w:tcPr>
            <w:tcW w:w="891"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5DF07AD9">
            <w:pPr>
              <w:keepNext/>
              <w:snapToGrid w:val="0"/>
              <w:ind w:left="0" w:leftChars="0" w:right="0" w:rightChars="0" w:firstLine="0" w:firstLineChars="0"/>
              <w:jc w:val="center"/>
              <w:rPr>
                <w:rFonts w:hint="default" w:ascii="Segoe UI" w:hAnsi="Segoe UI" w:eastAsia="Segoe UI" w:cs="Segoe UI"/>
                <w:sz w:val="22"/>
                <w:szCs w:val="22"/>
              </w:rPr>
            </w:pPr>
          </w:p>
        </w:tc>
      </w:tr>
      <w:tr w14:paraId="33B9D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406"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75CE0001">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Step 7</w:t>
            </w:r>
          </w:p>
        </w:tc>
        <w:tc>
          <w:tcPr>
            <w:tcW w:w="1301"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15A82729">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Reduction of man</w:t>
            </w:r>
            <w:r>
              <w:rPr>
                <w:rFonts w:hint="default" w:ascii="Segoe UI" w:hAnsi="Segoe UI" w:eastAsia="Segoe UI" w:cs="Segoe UI"/>
                <w:kern w:val="0"/>
                <w:sz w:val="22"/>
                <w:szCs w:val="22"/>
                <w:bdr w:val="none" w:color="auto" w:sz="0" w:space="0"/>
                <w:lang w:val="en-US" w:eastAsia="zh-CN" w:bidi="ar"/>
              </w:rPr>
              <w:noBreakHyphen/>
            </w:r>
            <w:r>
              <w:rPr>
                <w:rFonts w:hint="default" w:ascii="Segoe UI" w:hAnsi="Segoe UI" w:eastAsia="Segoe UI" w:cs="Segoe UI"/>
                <w:kern w:val="0"/>
                <w:sz w:val="22"/>
                <w:szCs w:val="22"/>
                <w:bdr w:val="none" w:color="auto" w:sz="0" w:space="0"/>
                <w:lang w:val="en-US" w:eastAsia="zh-CN" w:bidi="ar"/>
              </w:rPr>
              <w:t>days</w:t>
            </w:r>
          </w:p>
        </w:tc>
        <w:tc>
          <w:tcPr>
            <w:tcW w:w="1497"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0FCE013C">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When assurance level is "limited", reduce by one</w:t>
            </w:r>
            <w:r>
              <w:rPr>
                <w:rFonts w:hint="default" w:ascii="Segoe UI" w:hAnsi="Segoe UI" w:eastAsia="Segoe UI" w:cs="Segoe UI"/>
                <w:kern w:val="0"/>
                <w:sz w:val="22"/>
                <w:szCs w:val="22"/>
                <w:bdr w:val="none" w:color="auto" w:sz="0" w:space="0"/>
                <w:lang w:val="en-US" w:eastAsia="zh-CN" w:bidi="ar"/>
              </w:rPr>
              <w:noBreakHyphen/>
            </w:r>
            <w:r>
              <w:rPr>
                <w:rFonts w:hint="default" w:ascii="Segoe UI" w:hAnsi="Segoe UI" w:eastAsia="Segoe UI" w:cs="Segoe UI"/>
                <w:kern w:val="0"/>
                <w:sz w:val="22"/>
                <w:szCs w:val="22"/>
                <w:bdr w:val="none" w:color="auto" w:sz="0" w:space="0"/>
                <w:lang w:val="en-US" w:eastAsia="zh-CN" w:bidi="ar"/>
              </w:rPr>
              <w:t>third (round up to 0.5 day).</w:t>
            </w:r>
          </w:p>
        </w:tc>
        <w:tc>
          <w:tcPr>
            <w:tcW w:w="90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045E8E78">
            <w:pPr>
              <w:keepNext/>
              <w:keepLines w:val="0"/>
              <w:widowControl/>
              <w:suppressLineNumbers w:val="0"/>
              <w:snapToGrid w:val="0"/>
              <w:spacing w:line="240" w:lineRule="auto"/>
              <w:ind w:left="0" w:leftChars="0" w:right="0" w:rightChars="0" w:firstLine="0" w:firstLineChars="0"/>
              <w:jc w:val="righ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(Enter reduction)</w:t>
            </w:r>
          </w:p>
        </w:tc>
        <w:tc>
          <w:tcPr>
            <w:tcW w:w="891"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3B25399B">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(Enter final man</w:t>
            </w:r>
            <w:r>
              <w:rPr>
                <w:rFonts w:hint="default" w:ascii="Segoe UI" w:hAnsi="Segoe UI" w:eastAsia="Segoe UI" w:cs="Segoe UI"/>
                <w:kern w:val="0"/>
                <w:sz w:val="22"/>
                <w:szCs w:val="22"/>
                <w:bdr w:val="none" w:color="auto" w:sz="0" w:space="0"/>
                <w:lang w:val="en-US" w:eastAsia="zh-CN" w:bidi="ar"/>
              </w:rPr>
              <w:noBreakHyphen/>
            </w:r>
            <w:r>
              <w:rPr>
                <w:rFonts w:hint="default" w:ascii="Segoe UI" w:hAnsi="Segoe UI" w:eastAsia="Segoe UI" w:cs="Segoe UI"/>
                <w:kern w:val="0"/>
                <w:sz w:val="22"/>
                <w:szCs w:val="22"/>
                <w:bdr w:val="none" w:color="auto" w:sz="0" w:space="0"/>
                <w:lang w:val="en-US" w:eastAsia="zh-CN" w:bidi="ar"/>
              </w:rPr>
              <w:t>days after reduction)</w:t>
            </w:r>
          </w:p>
        </w:tc>
      </w:tr>
      <w:tr w14:paraId="53820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406" w:type="pct"/>
            <w:tcBorders>
              <w:top w:val="single" w:color="auto" w:sz="4" w:space="0"/>
              <w:left w:val="single" w:color="auto" w:sz="12" w:space="0"/>
              <w:bottom w:val="single" w:color="auto" w:sz="12" w:space="0"/>
              <w:right w:val="nil"/>
            </w:tcBorders>
            <w:shd w:val="clear"/>
            <w:noWrap w:val="0"/>
            <w:tcMar>
              <w:top w:w="150" w:type="dxa"/>
              <w:left w:w="-1" w:type="dxa"/>
              <w:bottom w:w="150" w:type="dxa"/>
              <w:right w:w="240" w:type="dxa"/>
            </w:tcMar>
            <w:vAlign w:val="center"/>
          </w:tcPr>
          <w:p w14:paraId="2E9E11BF">
            <w:pPr>
              <w:keepNext/>
              <w:snapToGrid w:val="0"/>
              <w:ind w:left="0" w:leftChars="0" w:right="0" w:rightChars="0" w:firstLine="0" w:firstLineChars="0"/>
              <w:jc w:val="center"/>
              <w:rPr>
                <w:rFonts w:hint="default" w:ascii="Segoe UI" w:hAnsi="Segoe UI" w:eastAsia="Segoe UI" w:cs="Segoe UI"/>
                <w:sz w:val="22"/>
                <w:szCs w:val="22"/>
              </w:rPr>
            </w:pPr>
          </w:p>
        </w:tc>
        <w:tc>
          <w:tcPr>
            <w:tcW w:w="1301" w:type="pct"/>
            <w:tcBorders>
              <w:top w:val="single" w:color="auto" w:sz="4" w:space="0"/>
              <w:left w:val="single" w:color="auto" w:sz="4" w:space="0"/>
              <w:bottom w:val="single" w:color="auto" w:sz="12" w:space="0"/>
              <w:right w:val="nil"/>
            </w:tcBorders>
            <w:shd w:val="clear"/>
            <w:noWrap w:val="0"/>
            <w:tcMar>
              <w:top w:w="150" w:type="dxa"/>
              <w:left w:w="240" w:type="dxa"/>
              <w:bottom w:w="150" w:type="dxa"/>
              <w:right w:w="240" w:type="dxa"/>
            </w:tcMar>
            <w:vAlign w:val="center"/>
          </w:tcPr>
          <w:p w14:paraId="04285C1A">
            <w:pPr>
              <w:keepNext/>
              <w:snapToGrid w:val="0"/>
              <w:ind w:left="0" w:leftChars="0" w:right="0" w:rightChars="0" w:firstLine="0" w:firstLineChars="0"/>
              <w:jc w:val="center"/>
              <w:rPr>
                <w:rFonts w:hint="default" w:ascii="Segoe UI" w:hAnsi="Segoe UI" w:eastAsia="Segoe UI" w:cs="Segoe UI"/>
                <w:sz w:val="22"/>
                <w:szCs w:val="22"/>
              </w:rPr>
            </w:pPr>
          </w:p>
        </w:tc>
        <w:tc>
          <w:tcPr>
            <w:tcW w:w="1497" w:type="pct"/>
            <w:tcBorders>
              <w:top w:val="single" w:color="auto" w:sz="4" w:space="0"/>
              <w:left w:val="single" w:color="auto" w:sz="4" w:space="0"/>
              <w:bottom w:val="single" w:color="auto" w:sz="12" w:space="0"/>
              <w:right w:val="nil"/>
            </w:tcBorders>
            <w:shd w:val="clear"/>
            <w:noWrap w:val="0"/>
            <w:tcMar>
              <w:top w:w="150" w:type="dxa"/>
              <w:left w:w="240" w:type="dxa"/>
              <w:bottom w:w="150" w:type="dxa"/>
              <w:right w:w="240" w:type="dxa"/>
            </w:tcMar>
            <w:vAlign w:val="center"/>
          </w:tcPr>
          <w:p w14:paraId="128204D1">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When materiality threshold decreases, reduce by 0.5 man</w:t>
            </w:r>
            <w:r>
              <w:rPr>
                <w:rFonts w:hint="default" w:ascii="Segoe UI" w:hAnsi="Segoe UI" w:eastAsia="Segoe UI" w:cs="Segoe UI"/>
                <w:kern w:val="0"/>
                <w:sz w:val="22"/>
                <w:szCs w:val="22"/>
                <w:bdr w:val="none" w:color="auto" w:sz="0" w:space="0"/>
                <w:lang w:val="en-US" w:eastAsia="zh-CN" w:bidi="ar"/>
              </w:rPr>
              <w:noBreakHyphen/>
            </w:r>
            <w:r>
              <w:rPr>
                <w:rFonts w:hint="default" w:ascii="Segoe UI" w:hAnsi="Segoe UI" w:eastAsia="Segoe UI" w:cs="Segoe UI"/>
                <w:kern w:val="0"/>
                <w:sz w:val="22"/>
                <w:szCs w:val="22"/>
                <w:bdr w:val="none" w:color="auto" w:sz="0" w:space="0"/>
                <w:lang w:val="en-US" w:eastAsia="zh-CN" w:bidi="ar"/>
              </w:rPr>
              <w:t>day per 5% decrease.</w:t>
            </w:r>
          </w:p>
        </w:tc>
        <w:tc>
          <w:tcPr>
            <w:tcW w:w="902" w:type="pct"/>
            <w:tcBorders>
              <w:top w:val="single" w:color="auto" w:sz="4" w:space="0"/>
              <w:left w:val="single" w:color="auto" w:sz="4" w:space="0"/>
              <w:bottom w:val="single" w:color="auto" w:sz="12" w:space="0"/>
              <w:right w:val="nil"/>
            </w:tcBorders>
            <w:shd w:val="clear"/>
            <w:noWrap w:val="0"/>
            <w:tcMar>
              <w:top w:w="150" w:type="dxa"/>
              <w:left w:w="240" w:type="dxa"/>
              <w:bottom w:w="150" w:type="dxa"/>
              <w:right w:w="240" w:type="dxa"/>
            </w:tcMar>
            <w:vAlign w:val="center"/>
          </w:tcPr>
          <w:p w14:paraId="124A9CE4">
            <w:pPr>
              <w:keepNext/>
              <w:keepLines w:val="0"/>
              <w:widowControl/>
              <w:suppressLineNumbers w:val="0"/>
              <w:snapToGrid w:val="0"/>
              <w:spacing w:line="240" w:lineRule="auto"/>
              <w:ind w:left="0" w:leftChars="0" w:right="0" w:rightChars="0" w:firstLine="0" w:firstLineChars="0"/>
              <w:jc w:val="righ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(Enter reduction)</w:t>
            </w:r>
          </w:p>
        </w:tc>
        <w:tc>
          <w:tcPr>
            <w:tcW w:w="891" w:type="pct"/>
            <w:tcBorders>
              <w:top w:val="single" w:color="auto" w:sz="4" w:space="0"/>
              <w:left w:val="single" w:color="auto" w:sz="4" w:space="0"/>
              <w:bottom w:val="single" w:color="auto" w:sz="12" w:space="0"/>
              <w:right w:val="single" w:color="auto" w:sz="12" w:space="0"/>
            </w:tcBorders>
            <w:shd w:val="clear"/>
            <w:noWrap w:val="0"/>
            <w:tcMar>
              <w:top w:w="150" w:type="dxa"/>
              <w:left w:w="240" w:type="dxa"/>
              <w:bottom w:w="150" w:type="dxa"/>
              <w:right w:w="-1" w:type="dxa"/>
            </w:tcMar>
            <w:vAlign w:val="center"/>
          </w:tcPr>
          <w:p w14:paraId="113149D7">
            <w:pPr>
              <w:keepNext/>
              <w:snapToGrid w:val="0"/>
              <w:ind w:left="0" w:leftChars="0" w:right="0" w:rightChars="0" w:firstLine="0" w:firstLineChars="0"/>
              <w:jc w:val="center"/>
              <w:rPr>
                <w:rFonts w:hint="default" w:ascii="Segoe UI" w:hAnsi="Segoe UI" w:eastAsia="Segoe UI" w:cs="Segoe UI"/>
                <w:sz w:val="22"/>
                <w:szCs w:val="22"/>
              </w:rPr>
            </w:pPr>
          </w:p>
        </w:tc>
      </w:tr>
    </w:tbl>
    <w:p w14:paraId="7E533DE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auto"/>
    <w:pitch w:val="default"/>
    <w:sig w:usb0="E0002E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911346"/>
    <w:rsid w:val="629113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rPr>
      <w:sz w:val="24"/>
    </w:r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48</Pages>
  <Words>0</Words>
  <Characters>0</Characters>
  <Lines>0</Lines>
  <Paragraphs>0</Paragraphs>
  <TotalTime>1</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2026-06-29T02:45:00Z</dcterms:created>
  <dc:creator>汤琴</dc:creator>
  <cp:lastModifiedBy>汤琴</cp:lastModifiedBy>
  <dcterms:modified xsi:type="dcterms:W3CDTF">2026-06-29T03:32:41Z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E9F972E2B4CA48BAA520D455AAA2F17F_11</vt:lpwstr>
  </property>
  <property fmtid="{D5CDD505-2E9C-101B-9397-08002B2CF9AE}" pid="4" name="KSOTemplateDocerSaveRecord">
    <vt:lpwstr>eyJoZGlkIjoiMDhlMjUxYWMxZTYyZDA0NWFmNTBiZjNkNDViYWQyMDAiLCJ1c2VySWQiOiIxMTM0MjA5MDIxIn0=</vt:lpwstr>
  </property>
</Properties>
</file>